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363B" w14:textId="5D130BE9" w:rsidR="000F6959" w:rsidRPr="00977190" w:rsidRDefault="000F6959">
      <w:pPr>
        <w:rPr>
          <w:b/>
          <w:bCs/>
          <w:sz w:val="28"/>
          <w:szCs w:val="28"/>
        </w:rPr>
      </w:pPr>
      <w:proofErr w:type="spellStart"/>
      <w:r w:rsidRPr="00977190">
        <w:rPr>
          <w:b/>
          <w:bCs/>
          <w:sz w:val="28"/>
          <w:szCs w:val="28"/>
        </w:rPr>
        <w:t>SipTilSend</w:t>
      </w:r>
      <w:proofErr w:type="spellEnd"/>
      <w:r w:rsidRPr="00977190">
        <w:rPr>
          <w:b/>
          <w:bCs/>
          <w:sz w:val="28"/>
          <w:szCs w:val="28"/>
        </w:rPr>
        <w:t xml:space="preserve"> </w:t>
      </w:r>
      <w:r w:rsidR="00977190" w:rsidRPr="00977190">
        <w:rPr>
          <w:b/>
          <w:bCs/>
          <w:sz w:val="28"/>
          <w:szCs w:val="28"/>
        </w:rPr>
        <w:t>–</w:t>
      </w:r>
      <w:r w:rsidRPr="00977190">
        <w:rPr>
          <w:b/>
          <w:bCs/>
          <w:sz w:val="28"/>
          <w:szCs w:val="28"/>
        </w:rPr>
        <w:t xml:space="preserve"> </w:t>
      </w:r>
      <w:r w:rsidR="00977190" w:rsidRPr="00977190">
        <w:rPr>
          <w:b/>
          <w:bCs/>
          <w:sz w:val="28"/>
          <w:szCs w:val="28"/>
        </w:rPr>
        <w:t xml:space="preserve">Improving fasting times for surgery through a quality improvement </w:t>
      </w:r>
      <w:proofErr w:type="gramStart"/>
      <w:r w:rsidR="00977190" w:rsidRPr="00977190">
        <w:rPr>
          <w:b/>
          <w:bCs/>
          <w:sz w:val="28"/>
          <w:szCs w:val="28"/>
        </w:rPr>
        <w:t>initiative</w:t>
      </w:r>
      <w:proofErr w:type="gramEnd"/>
    </w:p>
    <w:p w14:paraId="59762911" w14:textId="0F105A05" w:rsidR="00480B29" w:rsidRPr="000F6959" w:rsidRDefault="00480B29">
      <w:pPr>
        <w:rPr>
          <w:b/>
          <w:bCs/>
          <w:u w:val="single"/>
        </w:rPr>
      </w:pPr>
      <w:r w:rsidRPr="000F6959">
        <w:rPr>
          <w:b/>
          <w:bCs/>
          <w:u w:val="single"/>
        </w:rPr>
        <w:t>Background</w:t>
      </w:r>
    </w:p>
    <w:p w14:paraId="0B44BBCA" w14:textId="530E18B4" w:rsidR="00A65A6D" w:rsidRDefault="005F51D3" w:rsidP="00B173BD">
      <w:pPr>
        <w:jc w:val="both"/>
      </w:pPr>
      <w:r>
        <w:t>In 1946 Curtis Lester Mendelson published a paper</w:t>
      </w:r>
      <w:r w:rsidR="00E23ABB">
        <w:t>:</w:t>
      </w:r>
      <w:r w:rsidR="00080F7B">
        <w:t xml:space="preserve"> </w:t>
      </w:r>
      <w:r w:rsidR="006E7B49">
        <w:t>‘</w:t>
      </w:r>
      <w:r w:rsidR="006E7B49" w:rsidRPr="001E6095">
        <w:rPr>
          <w:i/>
          <w:iCs/>
        </w:rPr>
        <w:t xml:space="preserve">The aspiration of stomach contents into the lungs during obstetric </w:t>
      </w:r>
      <w:proofErr w:type="spellStart"/>
      <w:r w:rsidR="006E7B49" w:rsidRPr="001E6095">
        <w:rPr>
          <w:i/>
          <w:iCs/>
        </w:rPr>
        <w:t>anesthesia</w:t>
      </w:r>
      <w:proofErr w:type="spellEnd"/>
      <w:r w:rsidR="006E7B49" w:rsidRPr="001E6095">
        <w:rPr>
          <w:i/>
          <w:iCs/>
        </w:rPr>
        <w:t>’</w:t>
      </w:r>
      <w:r w:rsidR="002F5264">
        <w:t xml:space="preserve"> </w:t>
      </w:r>
      <w:r w:rsidR="00084447">
        <w:fldChar w:fldCharType="begin"/>
      </w:r>
      <w:r w:rsidR="00084447">
        <w:instrText xml:space="preserve"> ADDIN EN.CITE &lt;EndNote&gt;&lt;Cite&gt;&lt;Author&gt;Mendelson&lt;/Author&gt;&lt;Year&gt;1946&lt;/Year&gt;&lt;RecNum&gt;3&lt;/RecNum&gt;&lt;DisplayText&gt;(1)&lt;/DisplayText&gt;&lt;record&gt;&lt;rec-number&gt;3&lt;/rec-number&gt;&lt;foreign-keys&gt;&lt;key app="EN" db-id="dad00fdf2f955hewwdvpewfv5dwe5we9zzz9" timestamp="1656048335"&gt;3&lt;/key&gt;&lt;/foreign-keys&gt;&lt;ref-type name="Journal Article"&gt;17&lt;/ref-type&gt;&lt;contributors&gt;&lt;authors&gt;&lt;author&gt;Mendelson, C. L.&lt;/author&gt;&lt;/authors&gt;&lt;/contributors&gt;&lt;titles&gt;&lt;title&gt;The aspiration of stomach contents into the lungs during obstetric anesthesia&lt;/title&gt;&lt;secondary-title&gt;Am J Obstet Gynecol&lt;/secondary-title&gt;&lt;/titles&gt;&lt;periodical&gt;&lt;full-title&gt;Am J Obstet Gynecol&lt;/full-title&gt;&lt;/periodical&gt;&lt;pages&gt;191-205&lt;/pages&gt;&lt;volume&gt;52&lt;/volume&gt;&lt;edition&gt;1946/08/01&lt;/edition&gt;&lt;keywords&gt;&lt;keyword&gt;Anesthesia/*complications&lt;/keyword&gt;&lt;keyword&gt;*Anesthesia, Obstetrical&lt;/keyword&gt;&lt;keyword&gt;Female&lt;/keyword&gt;&lt;keyword&gt;*Gastrointestinal Contents&lt;/keyword&gt;&lt;keyword&gt;Humans&lt;/keyword&gt;&lt;keyword&gt;*Iatrogenic Disease&lt;/keyword&gt;&lt;keyword&gt;*Lung&lt;/keyword&gt;&lt;keyword&gt;Pregnancy&lt;/keyword&gt;&lt;keyword&gt;*ANESTHESIA/complications and sequelae&lt;/keyword&gt;&lt;/keywords&gt;&lt;dates&gt;&lt;year&gt;1946&lt;/year&gt;&lt;pub-dates&gt;&lt;date&gt;Aug&lt;/date&gt;&lt;/pub-dates&gt;&lt;/dates&gt;&lt;isbn&gt;0002-9378 (Print)&amp;#xD;0002-9378&lt;/isbn&gt;&lt;accession-num&gt;20993766&lt;/accession-num&gt;&lt;urls&gt;&lt;/urls&gt;&lt;electronic-resource-num&gt;10.1016/s0002-9378(16)39829-5&lt;/electronic-resource-num&gt;&lt;remote-database-provider&gt;NLM&lt;/remote-database-provider&gt;&lt;language&gt;eng&lt;/language&gt;&lt;/record&gt;&lt;/Cite&gt;&lt;/EndNote&gt;</w:instrText>
      </w:r>
      <w:r w:rsidR="00084447">
        <w:fldChar w:fldCharType="separate"/>
      </w:r>
      <w:r w:rsidR="00084447">
        <w:rPr>
          <w:noProof/>
        </w:rPr>
        <w:t>(1)</w:t>
      </w:r>
      <w:r w:rsidR="00084447">
        <w:fldChar w:fldCharType="end"/>
      </w:r>
      <w:r w:rsidR="0004062A">
        <w:t xml:space="preserve">. </w:t>
      </w:r>
      <w:r w:rsidR="00B46324">
        <w:t xml:space="preserve">Over a </w:t>
      </w:r>
      <w:proofErr w:type="gramStart"/>
      <w:r w:rsidR="00B46324">
        <w:t>13 year</w:t>
      </w:r>
      <w:proofErr w:type="gramEnd"/>
      <w:r w:rsidR="00B46324">
        <w:t xml:space="preserve"> period he found </w:t>
      </w:r>
      <w:r w:rsidR="00EB2599">
        <w:t xml:space="preserve">that the use of a combination of ether and </w:t>
      </w:r>
      <w:r w:rsidR="00FE70A5">
        <w:t xml:space="preserve">nitrous oxide anaesthesia in non-intubated </w:t>
      </w:r>
      <w:r w:rsidR="00B534D3">
        <w:t xml:space="preserve">women during labour was associated with 66 cases of aspiration in a total </w:t>
      </w:r>
      <w:r w:rsidR="0079455C">
        <w:t>of 44,016 deliveries – 0.15%</w:t>
      </w:r>
      <w:r w:rsidR="003615E9">
        <w:t xml:space="preserve">. </w:t>
      </w:r>
      <w:r w:rsidR="00883D0E">
        <w:t>Of the five women who aspirated solid food stuffs, two died</w:t>
      </w:r>
      <w:r w:rsidR="00445BFB">
        <w:t xml:space="preserve">. </w:t>
      </w:r>
      <w:r w:rsidR="00883D0E">
        <w:t xml:space="preserve">All women who aspirated liquid recovered within </w:t>
      </w:r>
      <w:r w:rsidR="00160804">
        <w:t xml:space="preserve">24-36hrs. </w:t>
      </w:r>
      <w:r w:rsidR="000F21BE">
        <w:t xml:space="preserve">Despite this low </w:t>
      </w:r>
      <w:r w:rsidR="002309A9">
        <w:t>complication</w:t>
      </w:r>
      <w:r w:rsidR="000F21BE">
        <w:t xml:space="preserve"> rate in an era without access to intensive respiratory </w:t>
      </w:r>
      <w:r w:rsidR="002309A9">
        <w:t xml:space="preserve">support </w:t>
      </w:r>
      <w:r w:rsidR="008A4054">
        <w:t xml:space="preserve">this paper </w:t>
      </w:r>
      <w:r w:rsidR="00B07FE0">
        <w:t xml:space="preserve">became the mainstay </w:t>
      </w:r>
      <w:r w:rsidR="00C251F4">
        <w:t xml:space="preserve">guiding </w:t>
      </w:r>
      <w:r w:rsidR="00B07FE0">
        <w:t xml:space="preserve">the approach to pre-operative fasting for decades. </w:t>
      </w:r>
    </w:p>
    <w:p w14:paraId="7A637B51" w14:textId="131B47E2" w:rsidR="005C7E85" w:rsidRDefault="001B5A57" w:rsidP="00B173BD">
      <w:pPr>
        <w:jc w:val="both"/>
      </w:pPr>
      <w:r>
        <w:t>In the last 2 decade</w:t>
      </w:r>
      <w:r w:rsidR="0003593C">
        <w:t>s</w:t>
      </w:r>
      <w:r w:rsidR="003201CD">
        <w:t>,</w:t>
      </w:r>
      <w:r>
        <w:t xml:space="preserve"> this dogma </w:t>
      </w:r>
      <w:r w:rsidR="003201CD">
        <w:t xml:space="preserve">has been </w:t>
      </w:r>
      <w:r>
        <w:t xml:space="preserve">challenged with evidence </w:t>
      </w:r>
      <w:r w:rsidR="008B0218">
        <w:t xml:space="preserve">demonstrating </w:t>
      </w:r>
      <w:r>
        <w:t xml:space="preserve">that prolonged fasting is </w:t>
      </w:r>
      <w:r w:rsidR="00AF0151">
        <w:t xml:space="preserve">not in the best interests of the patient and that contrary to </w:t>
      </w:r>
      <w:r w:rsidR="00B73EDE">
        <w:t>the</w:t>
      </w:r>
      <w:r w:rsidR="0078578A">
        <w:t xml:space="preserve"> </w:t>
      </w:r>
      <w:proofErr w:type="gramStart"/>
      <w:r w:rsidR="0078578A">
        <w:t>long held</w:t>
      </w:r>
      <w:proofErr w:type="gramEnd"/>
      <w:r w:rsidR="0078578A">
        <w:t xml:space="preserve"> view, </w:t>
      </w:r>
      <w:r w:rsidR="00B73EDE">
        <w:t>prolonged fasting</w:t>
      </w:r>
      <w:r w:rsidR="0078578A">
        <w:t xml:space="preserve"> did not reduce the volume of stomach contents </w:t>
      </w:r>
      <w:r w:rsidR="00E04315">
        <w:t>when compared to a fast with clear fluids allowed until 2 hours before surgery.</w:t>
      </w:r>
      <w:r w:rsidR="00392A15">
        <w:t xml:space="preserve"> </w:t>
      </w:r>
      <w:r w:rsidR="00E7570F">
        <w:t>In patients where fluid fasting was over 4 hours, g</w:t>
      </w:r>
      <w:r w:rsidR="00521B68">
        <w:t xml:space="preserve">astric pH was lower </w:t>
      </w:r>
      <w:r w:rsidR="00E7570F">
        <w:t>(more acidi</w:t>
      </w:r>
      <w:r w:rsidR="00060F21">
        <w:t xml:space="preserve">c) </w:t>
      </w:r>
      <w:r w:rsidR="00521B68">
        <w:t xml:space="preserve">and patients were more likely to have issues with </w:t>
      </w:r>
      <w:r w:rsidR="00722D3F">
        <w:t xml:space="preserve">low </w:t>
      </w:r>
      <w:r w:rsidR="00521B68">
        <w:t xml:space="preserve">blood sugars and experience </w:t>
      </w:r>
      <w:r w:rsidR="00E7570F">
        <w:t>hunger</w:t>
      </w:r>
      <w:r w:rsidR="004125E8">
        <w:t xml:space="preserve">, </w:t>
      </w:r>
      <w:r w:rsidR="00E7570F">
        <w:t xml:space="preserve">thirst </w:t>
      </w:r>
      <w:r w:rsidR="004125E8">
        <w:t>and nausea</w:t>
      </w:r>
      <w:r w:rsidR="002F78FF">
        <w:t xml:space="preserve"> </w:t>
      </w:r>
      <w:r w:rsidR="002F78FF">
        <w:fldChar w:fldCharType="begin"/>
      </w:r>
      <w:r w:rsidR="002F78FF">
        <w:instrText xml:space="preserve"> ADDIN EN.CITE &lt;EndNote&gt;&lt;Cite&gt;&lt;Year&gt;2017&lt;/Year&gt;&lt;RecNum&gt;1&lt;/RecNum&gt;&lt;DisplayText&gt;(2)&lt;/DisplayText&gt;&lt;record&gt;&lt;rec-number&gt;1&lt;/rec-number&gt;&lt;foreign-keys&gt;&lt;key app="EN" db-id="dad00fdf2f955hewwdvpewfv5dwe5we9zzz9" timestamp="1656039379"&gt;1&lt;/key&gt;&lt;/foreign-keys&gt;&lt;ref-type name="Journal Article"&gt;17&lt;/ref-type&gt;&lt;contributors&gt;&lt;/contributors&gt;&lt;titles&gt;&lt;title&gt;Practice Guidelines for Preoperative Fasting and the Use of Pharmacologic Agents to Reduce the Risk of Pulmonary Aspiration: Application to Healthy Patients Undergoing Elective Procedures: An Updated Report by the American Society of Anesthesiologists Task Force on Preoperative Fasting and the Use of Pharmacologic Agents to Reduce the Risk of Pulmonary Aspiration*&lt;/title&gt;&lt;secondary-title&gt;Anesthesiology&lt;/secondary-title&gt;&lt;/titles&gt;&lt;periodical&gt;&lt;full-title&gt;Anesthesiology&lt;/full-title&gt;&lt;/periodical&gt;&lt;pages&gt;376-393&lt;/pages&gt;&lt;volume&gt;126&lt;/volume&gt;&lt;number&gt;3&lt;/number&gt;&lt;dates&gt;&lt;year&gt;2017&lt;/year&gt;&lt;/dates&gt;&lt;isbn&gt;0003-3022&lt;/isbn&gt;&lt;urls&gt;&lt;related-urls&gt;&lt;url&gt;https://doi.org/10.1097/ALN.0000000000001452&lt;/url&gt;&lt;/related-urls&gt;&lt;/urls&gt;&lt;electronic-resource-num&gt;10.1097/aln.0000000000001452&lt;/electronic-resource-num&gt;&lt;access-date&gt;6/24/2022&lt;/access-date&gt;&lt;/record&gt;&lt;/Cite&gt;&lt;/EndNote&gt;</w:instrText>
      </w:r>
      <w:r w:rsidR="002F78FF">
        <w:fldChar w:fldCharType="separate"/>
      </w:r>
      <w:r w:rsidR="002F78FF">
        <w:rPr>
          <w:noProof/>
        </w:rPr>
        <w:t>(2)</w:t>
      </w:r>
      <w:r w:rsidR="002F78FF">
        <w:fldChar w:fldCharType="end"/>
      </w:r>
      <w:r w:rsidR="00E7570F">
        <w:t>.</w:t>
      </w:r>
      <w:r w:rsidR="00060F21">
        <w:t xml:space="preserve"> This evidence has led to a more </w:t>
      </w:r>
      <w:r w:rsidR="00994416">
        <w:t xml:space="preserve">evidence informed approach to fasting which comprises fasting from all solids for 6 hours prior to surgery but </w:t>
      </w:r>
      <w:r w:rsidR="00B173BD">
        <w:t>intake of clear fluids permitted</w:t>
      </w:r>
      <w:r w:rsidR="004125E8">
        <w:t xml:space="preserve"> and encouraged </w:t>
      </w:r>
      <w:r w:rsidR="00B173BD">
        <w:t xml:space="preserve">until 2 hours prior to surgery. </w:t>
      </w:r>
      <w:r w:rsidR="00825C88">
        <w:t xml:space="preserve">A recent international consensus statement on procedural sedation promotes </w:t>
      </w:r>
      <w:r w:rsidR="0073636C">
        <w:t xml:space="preserve">intake of clear fluids until the start of a procedure </w:t>
      </w:r>
      <w:r w:rsidR="00295870">
        <w:fldChar w:fldCharType="begin"/>
      </w:r>
      <w:r w:rsidR="00295870">
        <w:instrText xml:space="preserve"> ADDIN EN.CITE &lt;EndNote&gt;&lt;Cite&gt;&lt;Author&gt;Green&lt;/Author&gt;&lt;Year&gt;2020&lt;/Year&gt;&lt;RecNum&gt;2&lt;/RecNum&gt;&lt;DisplayText&gt;(3)&lt;/DisplayText&gt;&lt;record&gt;&lt;rec-number&gt;2&lt;/rec-number&gt;&lt;foreign-keys&gt;&lt;key app="EN" db-id="dad00fdf2f955hewwdvpewfv5dwe5we9zzz9" timestamp="1656041178"&gt;2&lt;/key&gt;&lt;/foreign-keys&gt;&lt;ref-type name="Journal Article"&gt;17&lt;/ref-type&gt;&lt;contributors&gt;&lt;authors&gt;&lt;author&gt;Green, S. M.&lt;/author&gt;&lt;author&gt;Leroy, P. L.&lt;/author&gt;&lt;author&gt;Roback, M. G.&lt;/author&gt;&lt;author&gt;Irwin, M. G.&lt;/author&gt;&lt;author&gt;Andolfatto, G.&lt;/author&gt;&lt;author&gt;Babl, F. E.&lt;/author&gt;&lt;author&gt;Barbi, E.&lt;/author&gt;&lt;author&gt;Costa, L. R.&lt;/author&gt;&lt;author&gt;Absalom, A.&lt;/author&gt;&lt;author&gt;Carlson, D. W.&lt;/author&gt;&lt;author&gt;Krauss, B. S.&lt;/author&gt;&lt;author&gt;Roelofse, J.&lt;/author&gt;&lt;author&gt;Yuen, V. M.&lt;/author&gt;&lt;author&gt;Alcaino, E.&lt;/author&gt;&lt;author&gt;Costa, P. S.&lt;/author&gt;&lt;author&gt;Mason, K. P.&lt;/author&gt;&lt;author&gt;the International Committee for the Advancement of Procedural Sedation&lt;/author&gt;&lt;/authors&gt;&lt;/contributors&gt;&lt;titles&gt;&lt;title&gt;An international multidisciplinary consensus statement on fasting before procedural sedation in adults and children&lt;/title&gt;&lt;secondary-title&gt;Anaesthesia&lt;/secondary-title&gt;&lt;/titles&gt;&lt;periodical&gt;&lt;full-title&gt;Anaesthesia&lt;/full-title&gt;&lt;/periodical&gt;&lt;pages&gt;374-385&lt;/pages&gt;&lt;volume&gt;75&lt;/volume&gt;&lt;number&gt;3&lt;/number&gt;&lt;dates&gt;&lt;year&gt;2020&lt;/year&gt;&lt;/dates&gt;&lt;isbn&gt;0003-2409&lt;/isbn&gt;&lt;urls&gt;&lt;related-urls&gt;&lt;url&gt;https://associationofanaesthetists-publications.onlinelibrary.wiley.com/doi/abs/10.1111/anae.14892&lt;/url&gt;&lt;/related-urls&gt;&lt;/urls&gt;&lt;electronic-resource-num&gt;https://doi.org/10.1111/anae.14892&lt;/electronic-resource-num&gt;&lt;/record&gt;&lt;/Cite&gt;&lt;/EndNote&gt;</w:instrText>
      </w:r>
      <w:r w:rsidR="00295870">
        <w:fldChar w:fldCharType="separate"/>
      </w:r>
      <w:r w:rsidR="00295870">
        <w:rPr>
          <w:noProof/>
        </w:rPr>
        <w:t>(3)</w:t>
      </w:r>
      <w:r w:rsidR="00295870">
        <w:fldChar w:fldCharType="end"/>
      </w:r>
      <w:r w:rsidR="0073636C">
        <w:t>.</w:t>
      </w:r>
    </w:p>
    <w:p w14:paraId="23B4462E" w14:textId="03D1FB5E" w:rsidR="008B0218" w:rsidRDefault="009E7E69" w:rsidP="00B173BD">
      <w:pPr>
        <w:jc w:val="both"/>
      </w:pPr>
      <w:r>
        <w:t xml:space="preserve">Being able to implement a 2 hr clear fluid fasting rule has the potential to </w:t>
      </w:r>
      <w:r w:rsidR="00D622DA">
        <w:t>improve the overall patient experience including reduced thirst, hunger</w:t>
      </w:r>
      <w:r w:rsidR="005C5059">
        <w:t>, anxiety</w:t>
      </w:r>
      <w:r w:rsidR="00D622DA">
        <w:t xml:space="preserve"> and better </w:t>
      </w:r>
      <w:proofErr w:type="gramStart"/>
      <w:r w:rsidR="00D622DA">
        <w:t>physiological  /</w:t>
      </w:r>
      <w:proofErr w:type="gramEnd"/>
      <w:r w:rsidR="00D622DA">
        <w:t xml:space="preserve"> metabolic status.</w:t>
      </w:r>
      <w:r w:rsidR="005C5059">
        <w:t xml:space="preserve"> </w:t>
      </w:r>
      <w:proofErr w:type="gramStart"/>
      <w:r w:rsidR="005C5059">
        <w:t>However</w:t>
      </w:r>
      <w:proofErr w:type="gramEnd"/>
      <w:r w:rsidR="005C5059">
        <w:t xml:space="preserve"> success is </w:t>
      </w:r>
      <w:r w:rsidR="00C6358A">
        <w:t xml:space="preserve">dependent on knowledge of the timing of the procedure. This is </w:t>
      </w:r>
      <w:r w:rsidR="00962A04">
        <w:t xml:space="preserve">logistically very difficult to achieve, particularly in those on emergency / </w:t>
      </w:r>
      <w:r w:rsidR="00A97495">
        <w:t xml:space="preserve">urgent operating lists. Recent </w:t>
      </w:r>
      <w:r w:rsidR="005064CD">
        <w:t>quality improvement activity</w:t>
      </w:r>
      <w:r w:rsidR="00A97495">
        <w:t xml:space="preserve"> undertaken </w:t>
      </w:r>
      <w:r w:rsidR="005064CD">
        <w:t>by</w:t>
      </w:r>
      <w:r w:rsidR="00A97495">
        <w:t xml:space="preserve"> the Prince of Wales Anaesthetic Department specifically attempted to reduce </w:t>
      </w:r>
      <w:r w:rsidR="009A3EA2">
        <w:t>fasting times prior to surgery</w:t>
      </w:r>
      <w:r w:rsidR="001C7D4C">
        <w:t xml:space="preserve">. </w:t>
      </w:r>
      <w:r w:rsidR="00A5092A">
        <w:t xml:space="preserve">In a project looking at an elective surgical population, </w:t>
      </w:r>
      <w:r w:rsidR="00106146">
        <w:t xml:space="preserve">the mean fasting time for clear fluids reduced from 8hrs and 18mins to 6hrs and 6mins through a process of encouraging patients to </w:t>
      </w:r>
      <w:r w:rsidR="00155076">
        <w:t xml:space="preserve">have a 200ml drink before leaving their home for their surgical procedure.  </w:t>
      </w:r>
      <w:r w:rsidR="00AB2BD6">
        <w:t>A similar piece of work but this time focusing on</w:t>
      </w:r>
      <w:r w:rsidR="00642DD9">
        <w:t xml:space="preserve"> an </w:t>
      </w:r>
      <w:r w:rsidR="00435C07">
        <w:t>orthopaedic trauma setting</w:t>
      </w:r>
      <w:r w:rsidR="00EA4626">
        <w:t>,</w:t>
      </w:r>
      <w:r w:rsidR="00190213">
        <w:t xml:space="preserve"> </w:t>
      </w:r>
      <w:r w:rsidR="00FC6420">
        <w:t>delivering and</w:t>
      </w:r>
      <w:r w:rsidR="00EA4626">
        <w:t xml:space="preserve"> </w:t>
      </w:r>
      <w:r w:rsidR="00190213">
        <w:t>education and training intervention failed to have any significant impact on fluid fasting</w:t>
      </w:r>
      <w:r w:rsidR="00D75A68">
        <w:t xml:space="preserve"> (8hrs and 32mins before and 8hrs and 7mins after intervention).</w:t>
      </w:r>
    </w:p>
    <w:p w14:paraId="611A260A" w14:textId="676415B0" w:rsidR="007B1768" w:rsidRDefault="000C65BB" w:rsidP="00B173BD">
      <w:pPr>
        <w:jc w:val="both"/>
      </w:pPr>
      <w:r>
        <w:t>The challenges at Prince of Wales are not unique</w:t>
      </w:r>
      <w:r w:rsidR="00061663">
        <w:t xml:space="preserve">. </w:t>
      </w:r>
      <w:proofErr w:type="gramStart"/>
      <w:r w:rsidR="00061663">
        <w:t xml:space="preserve">In </w:t>
      </w:r>
      <w:r w:rsidR="00FC6420">
        <w:t xml:space="preserve">an </w:t>
      </w:r>
      <w:r w:rsidR="00061663">
        <w:t>attempt to</w:t>
      </w:r>
      <w:proofErr w:type="gramEnd"/>
      <w:r w:rsidR="00061663">
        <w:t xml:space="preserve"> address this </w:t>
      </w:r>
      <w:r w:rsidR="00AB2BD6">
        <w:t>ubi</w:t>
      </w:r>
      <w:r w:rsidR="00F22B6B">
        <w:t>quitous</w:t>
      </w:r>
      <w:r w:rsidR="00061663">
        <w:t xml:space="preserve"> problem</w:t>
      </w:r>
      <w:r w:rsidR="00EA4626">
        <w:t>,</w:t>
      </w:r>
      <w:r>
        <w:t xml:space="preserve"> </w:t>
      </w:r>
      <w:r w:rsidR="001F5BA3">
        <w:t>2 hospital</w:t>
      </w:r>
      <w:r w:rsidR="00436AA2">
        <w:t xml:space="preserve"> trusts in Glasgow,</w:t>
      </w:r>
      <w:r w:rsidR="001F5BA3">
        <w:t xml:space="preserve"> </w:t>
      </w:r>
      <w:r>
        <w:t>Scotland</w:t>
      </w:r>
      <w:r w:rsidR="00090B02">
        <w:t>,</w:t>
      </w:r>
      <w:r>
        <w:t xml:space="preserve"> </w:t>
      </w:r>
      <w:r w:rsidR="00090B02">
        <w:t xml:space="preserve">introduced </w:t>
      </w:r>
      <w:r w:rsidR="0006230E">
        <w:t xml:space="preserve">an innovative </w:t>
      </w:r>
      <w:r w:rsidR="004F2DD3">
        <w:t xml:space="preserve">quality improvement initiative that </w:t>
      </w:r>
      <w:r w:rsidR="00B039C2">
        <w:t xml:space="preserve">successfully reduced fasting times for clear fluids from </w:t>
      </w:r>
      <w:r w:rsidR="00B039C2" w:rsidRPr="00581FF4">
        <w:rPr>
          <w:b/>
          <w:bCs/>
          <w:u w:val="single"/>
        </w:rPr>
        <w:t>7hrs and 30mins to 17mins</w:t>
      </w:r>
      <w:r w:rsidR="00B039C2">
        <w:t xml:space="preserve"> for all surgical wards</w:t>
      </w:r>
      <w:r w:rsidR="00EE3803">
        <w:t xml:space="preserve"> without an increase in aspiration related complications</w:t>
      </w:r>
      <w:r w:rsidR="00B039C2">
        <w:t xml:space="preserve"> </w:t>
      </w:r>
      <w:r w:rsidR="0006230E">
        <w:t xml:space="preserve">– </w:t>
      </w:r>
      <w:proofErr w:type="spellStart"/>
      <w:r w:rsidR="0006230E" w:rsidRPr="0006230E">
        <w:rPr>
          <w:i/>
          <w:iCs/>
        </w:rPr>
        <w:t>SipTilSend</w:t>
      </w:r>
      <w:proofErr w:type="spellEnd"/>
      <w:r w:rsidR="0006230E">
        <w:rPr>
          <w:i/>
          <w:iCs/>
        </w:rPr>
        <w:t>.</w:t>
      </w:r>
      <w:r w:rsidR="001F5BA3">
        <w:rPr>
          <w:i/>
          <w:iCs/>
        </w:rPr>
        <w:t xml:space="preserve"> </w:t>
      </w:r>
    </w:p>
    <w:p w14:paraId="29C331F9" w14:textId="10899DB8" w:rsidR="005F3277" w:rsidRDefault="00844E68" w:rsidP="00B173BD">
      <w:pPr>
        <w:jc w:val="both"/>
      </w:pPr>
      <w:proofErr w:type="spellStart"/>
      <w:r>
        <w:rPr>
          <w:i/>
          <w:iCs/>
        </w:rPr>
        <w:t>durations</w:t>
      </w:r>
      <w:r w:rsidR="00E153D2">
        <w:t>The</w:t>
      </w:r>
      <w:proofErr w:type="spellEnd"/>
      <w:r w:rsidR="00E153D2">
        <w:t xml:space="preserve"> implementation of the project did not see an increase in the incidence of </w:t>
      </w:r>
      <w:r w:rsidR="000A2F62">
        <w:t>aspiration</w:t>
      </w:r>
      <w:r w:rsidR="00E153D2">
        <w:t xml:space="preserve"> </w:t>
      </w:r>
      <w:r w:rsidR="000A2F62">
        <w:t xml:space="preserve">syndrome and was associated with positive staff, </w:t>
      </w:r>
      <w:proofErr w:type="gramStart"/>
      <w:r w:rsidR="000A2F62">
        <w:t>patient</w:t>
      </w:r>
      <w:proofErr w:type="gramEnd"/>
      <w:r w:rsidR="000A2F62">
        <w:t xml:space="preserve"> and carer experience. </w:t>
      </w:r>
      <w:proofErr w:type="spellStart"/>
      <w:r w:rsidR="000D46E8">
        <w:t>SipTilSend</w:t>
      </w:r>
      <w:proofErr w:type="spellEnd"/>
      <w:r w:rsidR="000D46E8">
        <w:t xml:space="preserve"> is now being rolled out across </w:t>
      </w:r>
      <w:proofErr w:type="gramStart"/>
      <w:r w:rsidR="000D46E8">
        <w:t>a number of</w:t>
      </w:r>
      <w:proofErr w:type="gramEnd"/>
      <w:r w:rsidR="000D46E8">
        <w:t xml:space="preserve"> hospital sites in Scotland and England</w:t>
      </w:r>
      <w:r w:rsidR="00F53A3E">
        <w:t xml:space="preserve"> and the clinicians behind the project are happy to share their methodology, resources and expertise in assisting other sites to </w:t>
      </w:r>
      <w:r w:rsidR="004E3D87">
        <w:t>implement this work.</w:t>
      </w:r>
    </w:p>
    <w:p w14:paraId="6312EF3F" w14:textId="77777777" w:rsidR="005F3277" w:rsidRDefault="005F3277" w:rsidP="00B173BD">
      <w:pPr>
        <w:jc w:val="both"/>
      </w:pPr>
    </w:p>
    <w:p w14:paraId="20502127" w14:textId="77777777" w:rsidR="000E2F34" w:rsidRDefault="000E2F34">
      <w:pPr>
        <w:rPr>
          <w:b/>
          <w:bCs/>
          <w:u w:val="single"/>
        </w:rPr>
      </w:pPr>
    </w:p>
    <w:p w14:paraId="143F3A9F" w14:textId="0FE005ED" w:rsidR="002F5264" w:rsidRPr="000F6959" w:rsidRDefault="00770C4D">
      <w:pPr>
        <w:rPr>
          <w:b/>
          <w:bCs/>
          <w:u w:val="single"/>
        </w:rPr>
      </w:pPr>
      <w:r w:rsidRPr="000F6959">
        <w:rPr>
          <w:b/>
          <w:bCs/>
          <w:u w:val="single"/>
        </w:rPr>
        <w:t>Project Goal</w:t>
      </w:r>
    </w:p>
    <w:p w14:paraId="5279C2DC" w14:textId="59E47B6E" w:rsidR="00033343" w:rsidRDefault="00033343">
      <w:r>
        <w:lastRenderedPageBreak/>
        <w:t>To reduce the average fasting time</w:t>
      </w:r>
      <w:r w:rsidR="00C90642">
        <w:t xml:space="preserve"> </w:t>
      </w:r>
      <w:r w:rsidR="007620C0">
        <w:t xml:space="preserve">for clear fluids from approximately </w:t>
      </w:r>
      <w:r w:rsidR="002143B4">
        <w:t>480</w:t>
      </w:r>
      <w:r w:rsidR="000E2F34">
        <w:t xml:space="preserve"> </w:t>
      </w:r>
      <w:r w:rsidR="002143B4">
        <w:t xml:space="preserve">mins </w:t>
      </w:r>
      <w:r w:rsidR="00AF31FB">
        <w:t>to 30 mins</w:t>
      </w:r>
    </w:p>
    <w:p w14:paraId="571264BD" w14:textId="77777777" w:rsidR="000E2F34" w:rsidRDefault="000E2F34">
      <w:pPr>
        <w:rPr>
          <w:b/>
          <w:bCs/>
        </w:rPr>
      </w:pPr>
    </w:p>
    <w:p w14:paraId="67FA4B6E" w14:textId="2D6000FB" w:rsidR="002E1933" w:rsidRPr="00C01C40" w:rsidRDefault="002E1933">
      <w:pPr>
        <w:rPr>
          <w:b/>
          <w:bCs/>
        </w:rPr>
      </w:pPr>
      <w:r w:rsidRPr="00C01C40">
        <w:rPr>
          <w:b/>
          <w:bCs/>
        </w:rPr>
        <w:t>Anticipated impact</w:t>
      </w:r>
    </w:p>
    <w:p w14:paraId="4C876C8E" w14:textId="6893BE42" w:rsidR="002E1933" w:rsidRDefault="002E1933">
      <w:r>
        <w:t>Improved patient experience</w:t>
      </w:r>
    </w:p>
    <w:p w14:paraId="06F6DFEB" w14:textId="5EE18D6B" w:rsidR="002E1933" w:rsidRDefault="002E1933">
      <w:r>
        <w:t>Improved staff satisfaction</w:t>
      </w:r>
    </w:p>
    <w:p w14:paraId="77CFCADA" w14:textId="77777777" w:rsidR="00364A1C" w:rsidRDefault="00364A1C" w:rsidP="00364A1C">
      <w:r>
        <w:t>A reduction in clinical review and rapid response – hypotension, reduced urine output</w:t>
      </w:r>
    </w:p>
    <w:p w14:paraId="4C9DC24D" w14:textId="6E622FF3" w:rsidR="002E1933" w:rsidRDefault="0011483F">
      <w:r>
        <w:t>No increase in aspiration syndrome</w:t>
      </w:r>
    </w:p>
    <w:p w14:paraId="47D65F35" w14:textId="1354524F" w:rsidR="007B7D29" w:rsidRDefault="007B7D29">
      <w:r>
        <w:t xml:space="preserve">No increase in clinical reviews or rapid responses </w:t>
      </w:r>
      <w:r w:rsidR="00364A1C">
        <w:t>for hypoxia / tachypnoea</w:t>
      </w:r>
    </w:p>
    <w:p w14:paraId="199D6CAA" w14:textId="77777777" w:rsidR="00C01C40" w:rsidRDefault="00C01C40"/>
    <w:p w14:paraId="56B4967D" w14:textId="5F7EAC1B" w:rsidR="00770C4D" w:rsidRPr="000F6959" w:rsidRDefault="00D23EC1">
      <w:pPr>
        <w:rPr>
          <w:b/>
          <w:bCs/>
          <w:u w:val="single"/>
        </w:rPr>
      </w:pPr>
      <w:r w:rsidRPr="000F6959">
        <w:rPr>
          <w:b/>
          <w:bCs/>
          <w:u w:val="single"/>
        </w:rPr>
        <w:t xml:space="preserve">Implementation of the </w:t>
      </w:r>
      <w:proofErr w:type="spellStart"/>
      <w:r w:rsidRPr="000F6959">
        <w:rPr>
          <w:b/>
          <w:bCs/>
          <w:u w:val="single"/>
        </w:rPr>
        <w:t>SipTilSend</w:t>
      </w:r>
      <w:proofErr w:type="spellEnd"/>
      <w:r w:rsidRPr="000F6959">
        <w:rPr>
          <w:b/>
          <w:bCs/>
          <w:u w:val="single"/>
        </w:rPr>
        <w:t xml:space="preserve"> initiative</w:t>
      </w:r>
    </w:p>
    <w:p w14:paraId="0703E56F" w14:textId="23DD33CC" w:rsidR="005F51D3" w:rsidRDefault="002C4235" w:rsidP="00FE577A">
      <w:pPr>
        <w:jc w:val="both"/>
      </w:pPr>
      <w:r>
        <w:t xml:space="preserve">We will adopt / adapt the process of implementation used in the original </w:t>
      </w:r>
      <w:r w:rsidR="00E56855">
        <w:t>se</w:t>
      </w:r>
      <w:r w:rsidR="00FE577A">
        <w:t>t</w:t>
      </w:r>
      <w:r w:rsidR="00E56855">
        <w:t>ting in Scotland</w:t>
      </w:r>
      <w:r w:rsidR="00A73FE2">
        <w:t>.</w:t>
      </w:r>
      <w:r w:rsidR="00532511">
        <w:t xml:space="preserve"> </w:t>
      </w:r>
      <w:r w:rsidR="00A73FE2">
        <w:t>T</w:t>
      </w:r>
      <w:r w:rsidR="00E56855">
        <w:t xml:space="preserve">he lead anaesthetist </w:t>
      </w:r>
      <w:r w:rsidR="00FE577A">
        <w:t xml:space="preserve">(Dr Matthew Checketts) </w:t>
      </w:r>
      <w:r w:rsidR="00E56855">
        <w:t xml:space="preserve">involved in the original </w:t>
      </w:r>
      <w:proofErr w:type="spellStart"/>
      <w:r w:rsidR="00E56855">
        <w:t>SipTilSend</w:t>
      </w:r>
      <w:proofErr w:type="spellEnd"/>
      <w:r w:rsidR="00E56855">
        <w:t xml:space="preserve"> project has indicated his willingness to support implement</w:t>
      </w:r>
      <w:r w:rsidR="00651E9C">
        <w:t>ation at the Prince of Wales through providing clinical advice as well as sharing the many resources that were created to support implementation in Scotlan</w:t>
      </w:r>
      <w:r w:rsidR="00FE577A">
        <w:t>d.</w:t>
      </w:r>
    </w:p>
    <w:p w14:paraId="5EF21C34" w14:textId="03B14DD0" w:rsidR="00BF0404" w:rsidRPr="0030191D" w:rsidRDefault="00BF0404" w:rsidP="00FE577A">
      <w:pPr>
        <w:jc w:val="both"/>
        <w:rPr>
          <w:b/>
          <w:bCs/>
        </w:rPr>
      </w:pPr>
      <w:r w:rsidRPr="0030191D">
        <w:rPr>
          <w:b/>
          <w:bCs/>
        </w:rPr>
        <w:t>Stage 1 (Months 1-3)</w:t>
      </w:r>
    </w:p>
    <w:p w14:paraId="08DD8267" w14:textId="3B695021" w:rsidR="00733CC2" w:rsidRDefault="00733CC2" w:rsidP="000D344D">
      <w:pPr>
        <w:pStyle w:val="ListParagraph"/>
        <w:numPr>
          <w:ilvl w:val="0"/>
          <w:numId w:val="1"/>
        </w:numPr>
        <w:jc w:val="both"/>
      </w:pPr>
      <w:r>
        <w:t xml:space="preserve">Appoint </w:t>
      </w:r>
      <w:r w:rsidR="00A046B7">
        <w:t>medical (0.2 FTE) and nursing (0.2 FTE) p</w:t>
      </w:r>
      <w:r w:rsidR="00D737B6">
        <w:t>roject leads</w:t>
      </w:r>
      <w:r w:rsidR="005720BD">
        <w:t xml:space="preserve"> – 9 </w:t>
      </w:r>
      <w:proofErr w:type="gramStart"/>
      <w:r w:rsidR="005720BD">
        <w:t>months</w:t>
      </w:r>
      <w:proofErr w:type="gramEnd"/>
    </w:p>
    <w:p w14:paraId="2AF82084" w14:textId="77777777" w:rsidR="00F770B9" w:rsidRDefault="00F770B9" w:rsidP="00F770B9">
      <w:pPr>
        <w:pStyle w:val="ListParagraph"/>
        <w:numPr>
          <w:ilvl w:val="0"/>
          <w:numId w:val="1"/>
        </w:numPr>
      </w:pPr>
      <w:r>
        <w:t>Ethics approval via a quality improvement initiative</w:t>
      </w:r>
    </w:p>
    <w:p w14:paraId="017F5D9D" w14:textId="254E40D3" w:rsidR="00480B29" w:rsidRDefault="00496DDD" w:rsidP="000D344D">
      <w:pPr>
        <w:pStyle w:val="ListParagraph"/>
        <w:numPr>
          <w:ilvl w:val="0"/>
          <w:numId w:val="1"/>
        </w:numPr>
      </w:pPr>
      <w:r>
        <w:t xml:space="preserve">Establish a clinical expert working group with representation from the key stakeholders impacted </w:t>
      </w:r>
      <w:r w:rsidR="004E62AC">
        <w:t xml:space="preserve">by any planned change to the fasting process for surgery </w:t>
      </w:r>
      <w:r w:rsidR="00136283">
        <w:t>–</w:t>
      </w:r>
      <w:r w:rsidR="004E62AC">
        <w:t xml:space="preserve"> </w:t>
      </w:r>
      <w:r w:rsidR="00136283">
        <w:t>anaesthetists, surgeons, perioperative medicine</w:t>
      </w:r>
      <w:r w:rsidR="00D00336">
        <w:t xml:space="preserve">, nursing and theatre staff </w:t>
      </w:r>
      <w:proofErr w:type="gramStart"/>
      <w:r w:rsidR="00D00336">
        <w:t>etc</w:t>
      </w:r>
      <w:proofErr w:type="gramEnd"/>
    </w:p>
    <w:p w14:paraId="79496C60" w14:textId="318CD6D9" w:rsidR="008A29D7" w:rsidRDefault="000B4859" w:rsidP="000D344D">
      <w:pPr>
        <w:pStyle w:val="ListParagraph"/>
        <w:numPr>
          <w:ilvl w:val="0"/>
          <w:numId w:val="1"/>
        </w:numPr>
      </w:pPr>
      <w:r>
        <w:t>Clinical expert working group to m</w:t>
      </w:r>
      <w:r w:rsidR="008A29D7">
        <w:t xml:space="preserve">eet with the Scottish team via Zoom to talk through the logistics </w:t>
      </w:r>
      <w:r w:rsidR="00CD4BD7">
        <w:t xml:space="preserve">of </w:t>
      </w:r>
      <w:r>
        <w:t xml:space="preserve">implementation and learn from the Scottish </w:t>
      </w:r>
      <w:proofErr w:type="gramStart"/>
      <w:r>
        <w:t>experience</w:t>
      </w:r>
      <w:proofErr w:type="gramEnd"/>
    </w:p>
    <w:p w14:paraId="3F6783D7" w14:textId="7D481F26" w:rsidR="00BF0404" w:rsidRDefault="00BF0404" w:rsidP="00BF0404">
      <w:pPr>
        <w:pStyle w:val="ListParagraph"/>
        <w:numPr>
          <w:ilvl w:val="0"/>
          <w:numId w:val="1"/>
        </w:numPr>
      </w:pPr>
      <w:r>
        <w:t xml:space="preserve">Review all existing policies and clinical guidelines that might be impacted by the change in </w:t>
      </w:r>
      <w:proofErr w:type="gramStart"/>
      <w:r>
        <w:t>practice</w:t>
      </w:r>
      <w:proofErr w:type="gramEnd"/>
    </w:p>
    <w:p w14:paraId="031B0A51" w14:textId="4F763368" w:rsidR="00BF0404" w:rsidRPr="0030191D" w:rsidRDefault="00BF0404" w:rsidP="00BF0404">
      <w:pPr>
        <w:rPr>
          <w:b/>
          <w:bCs/>
        </w:rPr>
      </w:pPr>
      <w:r w:rsidRPr="0030191D">
        <w:rPr>
          <w:b/>
          <w:bCs/>
        </w:rPr>
        <w:t>Stage 2</w:t>
      </w:r>
      <w:r w:rsidR="00AB2485" w:rsidRPr="0030191D">
        <w:rPr>
          <w:b/>
          <w:bCs/>
        </w:rPr>
        <w:t xml:space="preserve"> (Months 3-6)</w:t>
      </w:r>
    </w:p>
    <w:p w14:paraId="7926A1EB" w14:textId="0440D546" w:rsidR="00786186" w:rsidRDefault="00786186" w:rsidP="000D344D">
      <w:pPr>
        <w:pStyle w:val="ListParagraph"/>
        <w:numPr>
          <w:ilvl w:val="0"/>
          <w:numId w:val="1"/>
        </w:numPr>
      </w:pPr>
      <w:r>
        <w:t xml:space="preserve">Survey key stakeholders </w:t>
      </w:r>
      <w:r w:rsidR="004E1A9A">
        <w:t>(surgeons</w:t>
      </w:r>
      <w:r w:rsidR="00D05E5E">
        <w:t>,</w:t>
      </w:r>
      <w:r w:rsidR="004E1A9A">
        <w:t xml:space="preserve"> </w:t>
      </w:r>
      <w:proofErr w:type="gramStart"/>
      <w:r w:rsidR="004E1A9A">
        <w:t>anaesthetists</w:t>
      </w:r>
      <w:proofErr w:type="gramEnd"/>
      <w:r w:rsidR="00D05E5E">
        <w:t xml:space="preserve"> and nurses</w:t>
      </w:r>
      <w:r w:rsidR="004E1A9A">
        <w:t xml:space="preserve">) to </w:t>
      </w:r>
      <w:r w:rsidR="001D0117">
        <w:t>determine willingness to participate in this implementation project</w:t>
      </w:r>
      <w:r w:rsidR="008A71F9">
        <w:t xml:space="preserve"> and identify any potential opportunities or barriers to implementation</w:t>
      </w:r>
      <w:r w:rsidR="009E4245">
        <w:t xml:space="preserve"> (In Scotland, 90% of those surveyed were supportive)</w:t>
      </w:r>
    </w:p>
    <w:p w14:paraId="6A834DC7" w14:textId="3A08F639" w:rsidR="005A0250" w:rsidRDefault="009E4245" w:rsidP="000D344D">
      <w:pPr>
        <w:pStyle w:val="ListParagraph"/>
        <w:numPr>
          <w:ilvl w:val="0"/>
          <w:numId w:val="1"/>
        </w:numPr>
      </w:pPr>
      <w:r>
        <w:t xml:space="preserve">Write a policy for the introduction of </w:t>
      </w:r>
      <w:proofErr w:type="spellStart"/>
      <w:r>
        <w:t>SipTilSend</w:t>
      </w:r>
      <w:proofErr w:type="spellEnd"/>
      <w:r w:rsidR="00711EAB">
        <w:t xml:space="preserve"> along with an implementation plan</w:t>
      </w:r>
      <w:r w:rsidR="005A3B6A">
        <w:t xml:space="preserve"> (adapted from the Scottish policy)</w:t>
      </w:r>
      <w:r w:rsidR="00D02E5E">
        <w:t xml:space="preserve"> </w:t>
      </w:r>
      <w:r w:rsidR="0089035D">
        <w:t xml:space="preserve">including educational </w:t>
      </w:r>
      <w:proofErr w:type="gramStart"/>
      <w:r w:rsidR="0089035D">
        <w:t>resources</w:t>
      </w:r>
      <w:proofErr w:type="gramEnd"/>
    </w:p>
    <w:p w14:paraId="7936C9D3" w14:textId="032626F2" w:rsidR="005A3B6A" w:rsidRDefault="00D91F8B" w:rsidP="005A3B6A">
      <w:pPr>
        <w:pStyle w:val="ListParagraph"/>
        <w:numPr>
          <w:ilvl w:val="0"/>
          <w:numId w:val="1"/>
        </w:numPr>
      </w:pPr>
      <w:r>
        <w:t xml:space="preserve">Develop an evaluation framework to measure the impact of the project including </w:t>
      </w:r>
      <w:r w:rsidR="00711EAB">
        <w:t>qualitative data that looks at the patient and staff experience</w:t>
      </w:r>
      <w:r w:rsidR="005A3B6A">
        <w:t xml:space="preserve"> (adapted from the Scottish policy)</w:t>
      </w:r>
      <w:r w:rsidR="00DD2B29">
        <w:t xml:space="preserve">. </w:t>
      </w:r>
      <w:r w:rsidR="00936FF8">
        <w:t>Quantitative measures</w:t>
      </w:r>
      <w:r w:rsidR="00DD2B29">
        <w:t xml:space="preserve"> likely to incl</w:t>
      </w:r>
      <w:r w:rsidR="00B21A07">
        <w:t>ude – duration of fasting, nausea requiring antiemetic</w:t>
      </w:r>
      <w:r w:rsidR="00502450">
        <w:t xml:space="preserve">, </w:t>
      </w:r>
      <w:r w:rsidR="00CB6C63">
        <w:t xml:space="preserve">aspiration syndrome, clinical reviews and rapid responses, hospital acquired </w:t>
      </w:r>
      <w:proofErr w:type="gramStart"/>
      <w:r w:rsidR="00CB6C63">
        <w:t>complications</w:t>
      </w:r>
      <w:proofErr w:type="gramEnd"/>
    </w:p>
    <w:p w14:paraId="7A26B8FD" w14:textId="22E19454" w:rsidR="00433692" w:rsidRDefault="00433692" w:rsidP="00433692">
      <w:pPr>
        <w:pStyle w:val="ListParagraph"/>
        <w:numPr>
          <w:ilvl w:val="0"/>
          <w:numId w:val="1"/>
        </w:numPr>
      </w:pPr>
      <w:r>
        <w:t xml:space="preserve">Baseline data collection using existing data sets – electronic medical record, anaesthetic sheets, coded hospital </w:t>
      </w:r>
      <w:proofErr w:type="gramStart"/>
      <w:r>
        <w:t>data</w:t>
      </w:r>
      <w:proofErr w:type="gramEnd"/>
    </w:p>
    <w:p w14:paraId="62B8544D" w14:textId="0195E9DA" w:rsidR="00AB2485" w:rsidRPr="0030191D" w:rsidRDefault="0030191D" w:rsidP="00AB2485">
      <w:pPr>
        <w:rPr>
          <w:b/>
          <w:bCs/>
        </w:rPr>
      </w:pPr>
      <w:r w:rsidRPr="0030191D">
        <w:rPr>
          <w:b/>
          <w:bCs/>
        </w:rPr>
        <w:t>Stage 3 (</w:t>
      </w:r>
      <w:r>
        <w:rPr>
          <w:b/>
          <w:bCs/>
        </w:rPr>
        <w:t>M</w:t>
      </w:r>
      <w:r w:rsidRPr="0030191D">
        <w:rPr>
          <w:b/>
          <w:bCs/>
        </w:rPr>
        <w:t>onths 7-9)</w:t>
      </w:r>
    </w:p>
    <w:p w14:paraId="186FDE02" w14:textId="5124443A" w:rsidR="0004741C" w:rsidRDefault="0004741C" w:rsidP="005A3B6A">
      <w:pPr>
        <w:pStyle w:val="ListParagraph"/>
        <w:numPr>
          <w:ilvl w:val="0"/>
          <w:numId w:val="1"/>
        </w:numPr>
      </w:pPr>
      <w:r>
        <w:lastRenderedPageBreak/>
        <w:t xml:space="preserve">Period for education for staff </w:t>
      </w:r>
      <w:r w:rsidR="00CD6479">
        <w:t>including in-services, provision of written information, lanyards, posters</w:t>
      </w:r>
      <w:r w:rsidR="00CD4DAC">
        <w:t>, T</w:t>
      </w:r>
      <w:r w:rsidR="00BE7EF7">
        <w:t>-</w:t>
      </w:r>
      <w:r w:rsidR="00CD4DAC">
        <w:t>shirts</w:t>
      </w:r>
      <w:r w:rsidR="00CD6479">
        <w:t xml:space="preserve"> etc</w:t>
      </w:r>
      <w:r w:rsidR="00E84D0D">
        <w:t xml:space="preserve"> (key aspect of success in the Scottish experience)</w:t>
      </w:r>
    </w:p>
    <w:p w14:paraId="40375BC1" w14:textId="28F6BBCD" w:rsidR="00D91F8B" w:rsidRDefault="00AA1FAB" w:rsidP="000D344D">
      <w:pPr>
        <w:pStyle w:val="ListParagraph"/>
        <w:numPr>
          <w:ilvl w:val="0"/>
          <w:numId w:val="1"/>
        </w:numPr>
      </w:pPr>
      <w:r>
        <w:t xml:space="preserve">Roll out of </w:t>
      </w:r>
      <w:proofErr w:type="spellStart"/>
      <w:r>
        <w:t>SipTilSend</w:t>
      </w:r>
      <w:proofErr w:type="spellEnd"/>
      <w:r>
        <w:t xml:space="preserve"> across surgical </w:t>
      </w:r>
      <w:proofErr w:type="gramStart"/>
      <w:r>
        <w:t>specialities</w:t>
      </w:r>
      <w:proofErr w:type="gramEnd"/>
    </w:p>
    <w:p w14:paraId="1C8F5E53" w14:textId="74788528" w:rsidR="00FD6774" w:rsidRDefault="00354CD9" w:rsidP="000D344D">
      <w:pPr>
        <w:pStyle w:val="ListParagraph"/>
        <w:numPr>
          <w:ilvl w:val="0"/>
          <w:numId w:val="1"/>
        </w:numPr>
      </w:pPr>
      <w:r>
        <w:t>Initial e</w:t>
      </w:r>
      <w:r w:rsidR="00FD6774">
        <w:t>valuat</w:t>
      </w:r>
      <w:r>
        <w:t>ion</w:t>
      </w:r>
      <w:r w:rsidR="006822CD">
        <w:t xml:space="preserve"> </w:t>
      </w:r>
      <w:r>
        <w:t>of</w:t>
      </w:r>
      <w:r w:rsidR="00FD6774">
        <w:t xml:space="preserve"> </w:t>
      </w:r>
      <w:r w:rsidR="006822CD">
        <w:t xml:space="preserve">the </w:t>
      </w:r>
      <w:r w:rsidR="00FD6774">
        <w:t>impact using agreed performance measures</w:t>
      </w:r>
    </w:p>
    <w:p w14:paraId="1EC03D06" w14:textId="7BB112C0" w:rsidR="00354CD9" w:rsidRDefault="00133EA3">
      <w:r w:rsidRPr="00133EA3">
        <w:rPr>
          <w:b/>
          <w:bCs/>
        </w:rPr>
        <w:t>Stage 4</w:t>
      </w:r>
      <w:r>
        <w:t xml:space="preserve"> (</w:t>
      </w:r>
      <w:r w:rsidR="006822CD">
        <w:t>Month 10</w:t>
      </w:r>
      <w:r w:rsidR="00354CD9">
        <w:t xml:space="preserve"> onward</w:t>
      </w:r>
      <w:r>
        <w:t>)</w:t>
      </w:r>
      <w:r w:rsidR="001603C6">
        <w:t xml:space="preserve"> – an automated process </w:t>
      </w:r>
      <w:r>
        <w:t>of</w:t>
      </w:r>
      <w:r w:rsidR="001603C6">
        <w:t xml:space="preserve"> reviewing key performance indicators will be in place to ensure the ongoing safety / efficacy and cost-e</w:t>
      </w:r>
      <w:r w:rsidR="006822CD">
        <w:t xml:space="preserve">ffectiveness of the project. </w:t>
      </w:r>
    </w:p>
    <w:p w14:paraId="581AF924" w14:textId="77777777" w:rsidR="00486319" w:rsidRDefault="00486319">
      <w:pPr>
        <w:rPr>
          <w:b/>
          <w:bCs/>
        </w:rPr>
      </w:pPr>
    </w:p>
    <w:p w14:paraId="2A86C0D9" w14:textId="50568A44" w:rsidR="00BE7EF7" w:rsidRDefault="00AA112F">
      <w:pPr>
        <w:rPr>
          <w:b/>
          <w:bCs/>
        </w:rPr>
      </w:pPr>
      <w:r>
        <w:rPr>
          <w:b/>
          <w:bCs/>
        </w:rPr>
        <w:t>Draft</w:t>
      </w:r>
      <w:r w:rsidR="00B03998">
        <w:rPr>
          <w:b/>
          <w:bCs/>
        </w:rPr>
        <w:t xml:space="preserve"> Evaluation Frame</w:t>
      </w:r>
      <w:r w:rsidR="00486319">
        <w:rPr>
          <w:b/>
          <w:bCs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6319" w14:paraId="05C7C887" w14:textId="77777777" w:rsidTr="00486319">
        <w:tc>
          <w:tcPr>
            <w:tcW w:w="2254" w:type="dxa"/>
          </w:tcPr>
          <w:p w14:paraId="03D23BE8" w14:textId="42D9EC30" w:rsidR="00486319" w:rsidRDefault="00486319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350E4F6" w14:textId="6BD01064" w:rsidR="00486319" w:rsidRDefault="00EA43AF">
            <w:pPr>
              <w:rPr>
                <w:b/>
                <w:bCs/>
              </w:rPr>
            </w:pPr>
            <w:r>
              <w:rPr>
                <w:b/>
                <w:bCs/>
              </w:rPr>
              <w:t>Process / outcome</w:t>
            </w:r>
          </w:p>
        </w:tc>
        <w:tc>
          <w:tcPr>
            <w:tcW w:w="2254" w:type="dxa"/>
          </w:tcPr>
          <w:p w14:paraId="416C7541" w14:textId="0FD7AA4C" w:rsidR="00486319" w:rsidRDefault="00415E35">
            <w:pPr>
              <w:rPr>
                <w:b/>
                <w:bCs/>
              </w:rPr>
            </w:pPr>
            <w:r>
              <w:rPr>
                <w:b/>
                <w:bCs/>
              </w:rPr>
              <w:t>How to measure</w:t>
            </w:r>
          </w:p>
        </w:tc>
        <w:tc>
          <w:tcPr>
            <w:tcW w:w="2254" w:type="dxa"/>
          </w:tcPr>
          <w:p w14:paraId="78DB07D1" w14:textId="5833FECC" w:rsidR="00486319" w:rsidRDefault="003A5899">
            <w:pPr>
              <w:rPr>
                <w:b/>
                <w:bCs/>
              </w:rPr>
            </w:pPr>
            <w:r>
              <w:rPr>
                <w:b/>
                <w:bCs/>
              </w:rPr>
              <w:t>Expected outcome</w:t>
            </w:r>
          </w:p>
        </w:tc>
      </w:tr>
      <w:tr w:rsidR="00EA43AF" w14:paraId="7D9629B2" w14:textId="77777777" w:rsidTr="00486319">
        <w:tc>
          <w:tcPr>
            <w:tcW w:w="2254" w:type="dxa"/>
          </w:tcPr>
          <w:p w14:paraId="44C93187" w14:textId="39357944" w:rsidR="00EA43AF" w:rsidRDefault="00DE1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Primary Measure of </w:t>
            </w:r>
            <w:r w:rsidR="00EA43AF">
              <w:rPr>
                <w:b/>
                <w:bCs/>
              </w:rPr>
              <w:t>Efficacy</w:t>
            </w:r>
          </w:p>
        </w:tc>
        <w:tc>
          <w:tcPr>
            <w:tcW w:w="2254" w:type="dxa"/>
          </w:tcPr>
          <w:p w14:paraId="757DD1D8" w14:textId="7EB67179" w:rsidR="00EA43AF" w:rsidRPr="00415E35" w:rsidRDefault="00415E35">
            <w:r w:rsidRPr="00415E35">
              <w:t>Duration of fasting</w:t>
            </w:r>
            <w:r>
              <w:t xml:space="preserve"> from clear fluids</w:t>
            </w:r>
          </w:p>
        </w:tc>
        <w:tc>
          <w:tcPr>
            <w:tcW w:w="2254" w:type="dxa"/>
          </w:tcPr>
          <w:p w14:paraId="76E84872" w14:textId="404D8AC4" w:rsidR="00EA43AF" w:rsidRPr="00415E35" w:rsidRDefault="00456FDA">
            <w:r>
              <w:t xml:space="preserve">Sample of patients over an agreed number of days </w:t>
            </w:r>
            <w:r w:rsidR="003F1ABA">
              <w:t>–</w:t>
            </w:r>
            <w:r>
              <w:t xml:space="preserve"> </w:t>
            </w:r>
            <w:r w:rsidR="003F1ABA">
              <w:t xml:space="preserve">reported time of last sips of fluid before arriving in </w:t>
            </w:r>
            <w:r w:rsidR="00002EE4">
              <w:t>anaesthetic bay</w:t>
            </w:r>
            <w:r w:rsidR="000501C9">
              <w:t xml:space="preserve"> (surgical check</w:t>
            </w:r>
            <w:r w:rsidR="001D0F1B">
              <w:t xml:space="preserve"> in sheet)</w:t>
            </w:r>
          </w:p>
        </w:tc>
        <w:tc>
          <w:tcPr>
            <w:tcW w:w="2254" w:type="dxa"/>
          </w:tcPr>
          <w:p w14:paraId="48303CB8" w14:textId="708646B0" w:rsidR="00EA43AF" w:rsidRPr="00415E35" w:rsidRDefault="003A5899">
            <w:r>
              <w:t xml:space="preserve">Significant reduction in the number of minutes of fasting from clear fluids prior to </w:t>
            </w:r>
            <w:r w:rsidR="00002EE4">
              <w:t>arriving in the anaesthetic bay</w:t>
            </w:r>
          </w:p>
        </w:tc>
      </w:tr>
      <w:tr w:rsidR="00FD1054" w14:paraId="49F3E595" w14:textId="77777777" w:rsidTr="00486319">
        <w:tc>
          <w:tcPr>
            <w:tcW w:w="2254" w:type="dxa"/>
          </w:tcPr>
          <w:p w14:paraId="1F014260" w14:textId="342573B9" w:rsidR="00FD1054" w:rsidRDefault="00FD1054" w:rsidP="00FD1054">
            <w:pPr>
              <w:rPr>
                <w:b/>
                <w:bCs/>
              </w:rPr>
            </w:pPr>
            <w:r>
              <w:rPr>
                <w:b/>
                <w:bCs/>
              </w:rPr>
              <w:t>Secondary Measures of Efficacy</w:t>
            </w:r>
          </w:p>
        </w:tc>
        <w:tc>
          <w:tcPr>
            <w:tcW w:w="2254" w:type="dxa"/>
          </w:tcPr>
          <w:p w14:paraId="0E5C1F31" w14:textId="7B2D222D" w:rsidR="00FD1054" w:rsidRPr="00415E35" w:rsidRDefault="00FD1054" w:rsidP="00FD1054">
            <w:r>
              <w:t>Episodes of hypoglycaemia</w:t>
            </w:r>
          </w:p>
        </w:tc>
        <w:tc>
          <w:tcPr>
            <w:tcW w:w="2254" w:type="dxa"/>
          </w:tcPr>
          <w:p w14:paraId="7F2544C2" w14:textId="4CF2F51B" w:rsidR="00FD1054" w:rsidRDefault="00FD1054" w:rsidP="00FD1054">
            <w:r>
              <w:t>Blood sugar &lt;4.6 (</w:t>
            </w:r>
            <w:r w:rsidR="00AA112F">
              <w:t>E</w:t>
            </w:r>
            <w:r>
              <w:t>MR)</w:t>
            </w:r>
          </w:p>
        </w:tc>
        <w:tc>
          <w:tcPr>
            <w:tcW w:w="2254" w:type="dxa"/>
          </w:tcPr>
          <w:p w14:paraId="53CBBBE3" w14:textId="461A0A3F" w:rsidR="00FD1054" w:rsidRDefault="00FD1054" w:rsidP="00FD1054">
            <w:r>
              <w:t>Decrease in events</w:t>
            </w:r>
          </w:p>
        </w:tc>
      </w:tr>
      <w:tr w:rsidR="00FD1054" w14:paraId="5E47167E" w14:textId="77777777" w:rsidTr="00486319">
        <w:tc>
          <w:tcPr>
            <w:tcW w:w="2254" w:type="dxa"/>
          </w:tcPr>
          <w:p w14:paraId="6173BDEF" w14:textId="77777777" w:rsidR="00FD1054" w:rsidRDefault="00FD1054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04A6892" w14:textId="7007FE08" w:rsidR="00FD1054" w:rsidRPr="00415E35" w:rsidRDefault="00FD1054" w:rsidP="00FD1054">
            <w:r>
              <w:t>Nausea</w:t>
            </w:r>
          </w:p>
        </w:tc>
        <w:tc>
          <w:tcPr>
            <w:tcW w:w="2254" w:type="dxa"/>
          </w:tcPr>
          <w:p w14:paraId="319A6E59" w14:textId="7DA96F5D" w:rsidR="00FD1054" w:rsidRDefault="00FD1054" w:rsidP="00FD1054">
            <w:r>
              <w:t>Use of antiemetics within 24hrs of surgery - EMR</w:t>
            </w:r>
          </w:p>
        </w:tc>
        <w:tc>
          <w:tcPr>
            <w:tcW w:w="2254" w:type="dxa"/>
          </w:tcPr>
          <w:p w14:paraId="0C8826D9" w14:textId="682249BB" w:rsidR="00FD1054" w:rsidRDefault="00FD1054" w:rsidP="00FD1054">
            <w:r>
              <w:t>Decrease in events</w:t>
            </w:r>
          </w:p>
        </w:tc>
      </w:tr>
      <w:tr w:rsidR="00FD1054" w14:paraId="75D2D939" w14:textId="77777777" w:rsidTr="00486319">
        <w:tc>
          <w:tcPr>
            <w:tcW w:w="2254" w:type="dxa"/>
          </w:tcPr>
          <w:p w14:paraId="2CA66BBB" w14:textId="77777777" w:rsidR="00FD1054" w:rsidRDefault="00FD1054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77FA29A" w14:textId="4935D787" w:rsidR="00FD1054" w:rsidRPr="00415E35" w:rsidRDefault="00FD1054" w:rsidP="00FD1054">
            <w:r>
              <w:t>Tachycardia, hypotension, low urine output</w:t>
            </w:r>
          </w:p>
        </w:tc>
        <w:tc>
          <w:tcPr>
            <w:tcW w:w="2254" w:type="dxa"/>
          </w:tcPr>
          <w:p w14:paraId="468DB43A" w14:textId="319A3F8B" w:rsidR="00FD1054" w:rsidRDefault="00FD1054" w:rsidP="00FD1054">
            <w:r>
              <w:t xml:space="preserve">Clinical reviews and rapid responses for tachycardia, </w:t>
            </w:r>
            <w:proofErr w:type="gramStart"/>
            <w:r>
              <w:t>hypotension</w:t>
            </w:r>
            <w:proofErr w:type="gramEnd"/>
            <w:r>
              <w:t xml:space="preserve"> and low urine output</w:t>
            </w:r>
          </w:p>
        </w:tc>
        <w:tc>
          <w:tcPr>
            <w:tcW w:w="2254" w:type="dxa"/>
          </w:tcPr>
          <w:p w14:paraId="4547FD72" w14:textId="058487C0" w:rsidR="00FD1054" w:rsidRDefault="00FD1054" w:rsidP="00FD1054">
            <w:r>
              <w:t>Decrease in events</w:t>
            </w:r>
          </w:p>
        </w:tc>
      </w:tr>
      <w:tr w:rsidR="00FD1054" w14:paraId="6682FD68" w14:textId="77777777" w:rsidTr="00486319">
        <w:tc>
          <w:tcPr>
            <w:tcW w:w="2254" w:type="dxa"/>
          </w:tcPr>
          <w:p w14:paraId="76099B2A" w14:textId="77777777" w:rsidR="00FD1054" w:rsidRDefault="00FD1054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9928FF8" w14:textId="2E03C525" w:rsidR="00FD1054" w:rsidRPr="00415E35" w:rsidRDefault="00CA556A" w:rsidP="00FD1054">
            <w:r>
              <w:t>Acute kidney injury</w:t>
            </w:r>
          </w:p>
        </w:tc>
        <w:tc>
          <w:tcPr>
            <w:tcW w:w="2254" w:type="dxa"/>
          </w:tcPr>
          <w:p w14:paraId="36AA04B8" w14:textId="79A576B6" w:rsidR="00FD1054" w:rsidRDefault="00CA556A" w:rsidP="00FD1054">
            <w:r>
              <w:t>Decline in renal function (EMR)</w:t>
            </w:r>
          </w:p>
        </w:tc>
        <w:tc>
          <w:tcPr>
            <w:tcW w:w="2254" w:type="dxa"/>
          </w:tcPr>
          <w:p w14:paraId="3383E8B4" w14:textId="13C1CEBF" w:rsidR="00FD1054" w:rsidRDefault="00987E32" w:rsidP="00FD1054">
            <w:r>
              <w:t>Decrease in events</w:t>
            </w:r>
          </w:p>
        </w:tc>
      </w:tr>
      <w:tr w:rsidR="00E12C5F" w14:paraId="5E9283FA" w14:textId="77777777" w:rsidTr="00486319">
        <w:tc>
          <w:tcPr>
            <w:tcW w:w="2254" w:type="dxa"/>
          </w:tcPr>
          <w:p w14:paraId="0E591FDA" w14:textId="77777777" w:rsidR="00E12C5F" w:rsidRDefault="00E12C5F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C27A798" w14:textId="32E3CC4F" w:rsidR="00E12C5F" w:rsidRDefault="00987E32" w:rsidP="00FD1054">
            <w:r>
              <w:t>Inappropriate fasting periods</w:t>
            </w:r>
          </w:p>
        </w:tc>
        <w:tc>
          <w:tcPr>
            <w:tcW w:w="2254" w:type="dxa"/>
          </w:tcPr>
          <w:p w14:paraId="68552AF0" w14:textId="0D462481" w:rsidR="00E12C5F" w:rsidRDefault="00987E32" w:rsidP="00FD1054">
            <w:r>
              <w:t>Documentation by teams of Nil by Mouth from Midnight</w:t>
            </w:r>
          </w:p>
        </w:tc>
        <w:tc>
          <w:tcPr>
            <w:tcW w:w="2254" w:type="dxa"/>
          </w:tcPr>
          <w:p w14:paraId="265D2649" w14:textId="49FBE83A" w:rsidR="00E12C5F" w:rsidRDefault="00987E32" w:rsidP="00FD1054">
            <w:r>
              <w:t>Decrease in events</w:t>
            </w:r>
          </w:p>
        </w:tc>
      </w:tr>
      <w:tr w:rsidR="00FD1054" w14:paraId="655C0948" w14:textId="77777777" w:rsidTr="00486319">
        <w:tc>
          <w:tcPr>
            <w:tcW w:w="2254" w:type="dxa"/>
          </w:tcPr>
          <w:p w14:paraId="5C649039" w14:textId="3D46BB4A" w:rsidR="00FD1054" w:rsidRDefault="00FD1054" w:rsidP="00FD1054">
            <w:pPr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</w:p>
        </w:tc>
        <w:tc>
          <w:tcPr>
            <w:tcW w:w="2254" w:type="dxa"/>
          </w:tcPr>
          <w:p w14:paraId="18FDC8DB" w14:textId="31BEE5E2" w:rsidR="00FD1054" w:rsidRPr="00415E35" w:rsidRDefault="00FD1054" w:rsidP="00FD1054">
            <w:r w:rsidRPr="00415E35">
              <w:t>Aspiration and regurgitation</w:t>
            </w:r>
          </w:p>
        </w:tc>
        <w:tc>
          <w:tcPr>
            <w:tcW w:w="2254" w:type="dxa"/>
          </w:tcPr>
          <w:p w14:paraId="4AF57085" w14:textId="3A8E38AF" w:rsidR="00FD1054" w:rsidRDefault="00FD1054" w:rsidP="00FD1054">
            <w:r>
              <w:t>Per-operative desaturation – anaesthetic sheet</w:t>
            </w:r>
          </w:p>
          <w:p w14:paraId="4ECA0F6B" w14:textId="460323CC" w:rsidR="00FD1054" w:rsidRDefault="00FD1054" w:rsidP="00FD1054">
            <w:r>
              <w:t xml:space="preserve">Documented aspiration pneumonitis </w:t>
            </w:r>
            <w:r w:rsidR="00547CD3">
              <w:t>–</w:t>
            </w:r>
            <w:r>
              <w:t xml:space="preserve"> </w:t>
            </w:r>
            <w:r w:rsidR="00547CD3">
              <w:t>(</w:t>
            </w:r>
            <w:r w:rsidR="00B959A3">
              <w:t>E</w:t>
            </w:r>
            <w:r>
              <w:t>MR</w:t>
            </w:r>
            <w:r w:rsidR="00547CD3">
              <w:t>)</w:t>
            </w:r>
          </w:p>
          <w:p w14:paraId="5B0F2D7C" w14:textId="796D6EF8" w:rsidR="00FD1054" w:rsidRPr="00415E35" w:rsidRDefault="00FD1054" w:rsidP="00FD1054">
            <w:r>
              <w:t xml:space="preserve">Documented aspiration pneumonia requiring antibiotics </w:t>
            </w:r>
            <w:r w:rsidR="00547CD3">
              <w:t>–</w:t>
            </w:r>
            <w:r>
              <w:t xml:space="preserve"> </w:t>
            </w:r>
            <w:r w:rsidR="00547CD3">
              <w:t>(</w:t>
            </w:r>
            <w:r w:rsidR="00B959A3">
              <w:t>E</w:t>
            </w:r>
            <w:r>
              <w:t>MR</w:t>
            </w:r>
            <w:r w:rsidR="00547CD3">
              <w:t>)</w:t>
            </w:r>
          </w:p>
        </w:tc>
        <w:tc>
          <w:tcPr>
            <w:tcW w:w="2254" w:type="dxa"/>
          </w:tcPr>
          <w:p w14:paraId="7050C32A" w14:textId="561CDCCC" w:rsidR="00FD1054" w:rsidRPr="00415E35" w:rsidRDefault="00FD1054" w:rsidP="00FD1054">
            <w:r>
              <w:t>No change in expected number of events</w:t>
            </w:r>
          </w:p>
        </w:tc>
      </w:tr>
      <w:tr w:rsidR="00FD1054" w14:paraId="776101F4" w14:textId="77777777" w:rsidTr="00486319">
        <w:tc>
          <w:tcPr>
            <w:tcW w:w="2254" w:type="dxa"/>
          </w:tcPr>
          <w:p w14:paraId="78A3DD2E" w14:textId="77777777" w:rsidR="00FD1054" w:rsidRDefault="00FD1054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693076" w14:textId="199361D8" w:rsidR="00FD1054" w:rsidRPr="00415E35" w:rsidRDefault="00FD1054" w:rsidP="00FD1054">
            <w:r>
              <w:t>Hypoxia / tachypnoea</w:t>
            </w:r>
          </w:p>
        </w:tc>
        <w:tc>
          <w:tcPr>
            <w:tcW w:w="2254" w:type="dxa"/>
          </w:tcPr>
          <w:p w14:paraId="7B74F75B" w14:textId="52316517" w:rsidR="00FD1054" w:rsidRPr="00415E35" w:rsidRDefault="00FD1054" w:rsidP="00FD1054">
            <w:r>
              <w:t>Clinical reviews and rapid responses for hypoxia and tachypnoea - EMR</w:t>
            </w:r>
          </w:p>
        </w:tc>
        <w:tc>
          <w:tcPr>
            <w:tcW w:w="2254" w:type="dxa"/>
          </w:tcPr>
          <w:p w14:paraId="51424BC1" w14:textId="7AB13471" w:rsidR="00FD1054" w:rsidRPr="00415E35" w:rsidRDefault="00FD1054" w:rsidP="00FD1054">
            <w:r>
              <w:t>No change in events</w:t>
            </w:r>
          </w:p>
        </w:tc>
      </w:tr>
      <w:tr w:rsidR="00FD1054" w14:paraId="2A4CA6DC" w14:textId="77777777" w:rsidTr="00486319">
        <w:tc>
          <w:tcPr>
            <w:tcW w:w="2254" w:type="dxa"/>
          </w:tcPr>
          <w:p w14:paraId="5F94DB7C" w14:textId="48A8F9B0" w:rsidR="00FD1054" w:rsidRDefault="008268BB" w:rsidP="00FD10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Patient satisfaction</w:t>
            </w:r>
          </w:p>
        </w:tc>
        <w:tc>
          <w:tcPr>
            <w:tcW w:w="2254" w:type="dxa"/>
          </w:tcPr>
          <w:p w14:paraId="6CB508F9" w14:textId="38D1CB60" w:rsidR="00FD1054" w:rsidRPr="00415E35" w:rsidRDefault="00CC1358" w:rsidP="00FD1054">
            <w:r>
              <w:t>Patients reporting satisfaction with period of fasting</w:t>
            </w:r>
            <w:r w:rsidR="00A0309B">
              <w:t xml:space="preserve"> – thirst, hunger, nausea, anxiety</w:t>
            </w:r>
          </w:p>
        </w:tc>
        <w:tc>
          <w:tcPr>
            <w:tcW w:w="2254" w:type="dxa"/>
          </w:tcPr>
          <w:p w14:paraId="78262BFE" w14:textId="7740187F" w:rsidR="00FD1054" w:rsidRPr="00415E35" w:rsidRDefault="00E10FF2" w:rsidP="00FD1054">
            <w:proofErr w:type="gramStart"/>
            <w:r>
              <w:t>Patient  /</w:t>
            </w:r>
            <w:proofErr w:type="gramEnd"/>
            <w:r>
              <w:t xml:space="preserve"> carer questionnaire</w:t>
            </w:r>
            <w:r w:rsidR="00B959A3">
              <w:t xml:space="preserve"> via Redcap </w:t>
            </w:r>
            <w:r w:rsidR="00335A81">
              <w:t>survey</w:t>
            </w:r>
          </w:p>
        </w:tc>
        <w:tc>
          <w:tcPr>
            <w:tcW w:w="2254" w:type="dxa"/>
          </w:tcPr>
          <w:p w14:paraId="6B72B312" w14:textId="6FC7D0AB" w:rsidR="00FD1054" w:rsidRPr="00415E35" w:rsidRDefault="008268BB" w:rsidP="00FD1054">
            <w:r>
              <w:t>Improved satisfaction</w:t>
            </w:r>
          </w:p>
        </w:tc>
      </w:tr>
      <w:tr w:rsidR="00FD1054" w14:paraId="1DE94CB9" w14:textId="77777777" w:rsidTr="00486319">
        <w:tc>
          <w:tcPr>
            <w:tcW w:w="2254" w:type="dxa"/>
          </w:tcPr>
          <w:p w14:paraId="59AA205C" w14:textId="23384419" w:rsidR="00FD1054" w:rsidRDefault="00E10FF2" w:rsidP="00FD1054">
            <w:pPr>
              <w:rPr>
                <w:b/>
                <w:bCs/>
              </w:rPr>
            </w:pPr>
            <w:r>
              <w:rPr>
                <w:b/>
                <w:bCs/>
              </w:rPr>
              <w:t>Staff satisfaction</w:t>
            </w:r>
          </w:p>
        </w:tc>
        <w:tc>
          <w:tcPr>
            <w:tcW w:w="2254" w:type="dxa"/>
          </w:tcPr>
          <w:p w14:paraId="6EA84C79" w14:textId="16083562" w:rsidR="00FD1054" w:rsidRPr="00415E35" w:rsidRDefault="00E10FF2" w:rsidP="00FD1054">
            <w:r>
              <w:t xml:space="preserve">Staff satisfaction with implementing </w:t>
            </w:r>
            <w:proofErr w:type="spellStart"/>
            <w:r>
              <w:t>SipTilSend</w:t>
            </w:r>
            <w:proofErr w:type="spellEnd"/>
          </w:p>
        </w:tc>
        <w:tc>
          <w:tcPr>
            <w:tcW w:w="2254" w:type="dxa"/>
          </w:tcPr>
          <w:p w14:paraId="498AC31B" w14:textId="09F52844" w:rsidR="00FD1054" w:rsidRPr="00415E35" w:rsidRDefault="00E10FF2" w:rsidP="00FD1054">
            <w:r>
              <w:t>Staff questionnaire</w:t>
            </w:r>
            <w:r w:rsidR="00335A81">
              <w:t xml:space="preserve"> via Redcap survey</w:t>
            </w:r>
          </w:p>
        </w:tc>
        <w:tc>
          <w:tcPr>
            <w:tcW w:w="2254" w:type="dxa"/>
          </w:tcPr>
          <w:p w14:paraId="6B6BB41A" w14:textId="77777777" w:rsidR="00FD1054" w:rsidRPr="00415E35" w:rsidRDefault="00FD1054" w:rsidP="00FD1054"/>
        </w:tc>
      </w:tr>
      <w:tr w:rsidR="00FD1054" w14:paraId="2D9FC2DA" w14:textId="77777777" w:rsidTr="00486319">
        <w:tc>
          <w:tcPr>
            <w:tcW w:w="2254" w:type="dxa"/>
          </w:tcPr>
          <w:p w14:paraId="1A3111AD" w14:textId="77777777" w:rsidR="00FD1054" w:rsidRDefault="00FD1054" w:rsidP="00FD1054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77FE3BA" w14:textId="77777777" w:rsidR="00FD1054" w:rsidRPr="00415E35" w:rsidRDefault="00FD1054" w:rsidP="00FD1054"/>
        </w:tc>
        <w:tc>
          <w:tcPr>
            <w:tcW w:w="2254" w:type="dxa"/>
          </w:tcPr>
          <w:p w14:paraId="30503428" w14:textId="77777777" w:rsidR="00FD1054" w:rsidRPr="00415E35" w:rsidRDefault="00FD1054" w:rsidP="00FD1054"/>
        </w:tc>
        <w:tc>
          <w:tcPr>
            <w:tcW w:w="2254" w:type="dxa"/>
          </w:tcPr>
          <w:p w14:paraId="0FEDB75A" w14:textId="77777777" w:rsidR="00FD1054" w:rsidRPr="00415E35" w:rsidRDefault="00FD1054" w:rsidP="00FD1054"/>
        </w:tc>
      </w:tr>
    </w:tbl>
    <w:p w14:paraId="3506E797" w14:textId="64EF4925" w:rsidR="00B03998" w:rsidRDefault="00B03998">
      <w:pPr>
        <w:rPr>
          <w:b/>
          <w:bCs/>
        </w:rPr>
      </w:pPr>
    </w:p>
    <w:p w14:paraId="4AD6009C" w14:textId="77777777" w:rsidR="00B03998" w:rsidRDefault="00B03998">
      <w:pPr>
        <w:rPr>
          <w:b/>
          <w:bCs/>
        </w:rPr>
      </w:pPr>
    </w:p>
    <w:p w14:paraId="05741F9F" w14:textId="77777777" w:rsidR="00486319" w:rsidRDefault="00486319">
      <w:pPr>
        <w:rPr>
          <w:b/>
          <w:bCs/>
        </w:rPr>
      </w:pPr>
      <w:r>
        <w:rPr>
          <w:b/>
          <w:bCs/>
        </w:rPr>
        <w:br w:type="page"/>
      </w:r>
    </w:p>
    <w:p w14:paraId="44422160" w14:textId="1DD4BD6F" w:rsidR="00084447" w:rsidRPr="00BE7EF7" w:rsidRDefault="00B07FE0">
      <w:pPr>
        <w:rPr>
          <w:b/>
          <w:bCs/>
        </w:rPr>
      </w:pPr>
      <w:r w:rsidRPr="00BE7EF7">
        <w:rPr>
          <w:b/>
          <w:bCs/>
        </w:rPr>
        <w:lastRenderedPageBreak/>
        <w:t>References</w:t>
      </w:r>
    </w:p>
    <w:p w14:paraId="635A4DA8" w14:textId="77777777" w:rsidR="00295870" w:rsidRPr="00936FF8" w:rsidRDefault="00084447" w:rsidP="00295870">
      <w:pPr>
        <w:pStyle w:val="EndNoteBibliography"/>
        <w:spacing w:after="0"/>
        <w:rPr>
          <w:rFonts w:asciiTheme="minorHAnsi" w:hAnsiTheme="minorHAnsi" w:cstheme="minorHAnsi"/>
        </w:rPr>
      </w:pPr>
      <w:r w:rsidRPr="00936FF8">
        <w:rPr>
          <w:rFonts w:asciiTheme="minorHAnsi" w:hAnsiTheme="minorHAnsi" w:cstheme="minorHAnsi"/>
        </w:rPr>
        <w:fldChar w:fldCharType="begin"/>
      </w:r>
      <w:r w:rsidRPr="00936FF8">
        <w:rPr>
          <w:rFonts w:asciiTheme="minorHAnsi" w:hAnsiTheme="minorHAnsi" w:cstheme="minorHAnsi"/>
        </w:rPr>
        <w:instrText xml:space="preserve"> ADDIN EN.REFLIST </w:instrText>
      </w:r>
      <w:r w:rsidRPr="00936FF8">
        <w:rPr>
          <w:rFonts w:asciiTheme="minorHAnsi" w:hAnsiTheme="minorHAnsi" w:cstheme="minorHAnsi"/>
        </w:rPr>
        <w:fldChar w:fldCharType="separate"/>
      </w:r>
      <w:r w:rsidR="00295870" w:rsidRPr="00936FF8">
        <w:rPr>
          <w:rFonts w:asciiTheme="minorHAnsi" w:hAnsiTheme="minorHAnsi" w:cstheme="minorHAnsi"/>
        </w:rPr>
        <w:t>1.</w:t>
      </w:r>
      <w:r w:rsidR="00295870" w:rsidRPr="00936FF8">
        <w:rPr>
          <w:rFonts w:asciiTheme="minorHAnsi" w:hAnsiTheme="minorHAnsi" w:cstheme="minorHAnsi"/>
        </w:rPr>
        <w:tab/>
        <w:t>Mendelson CL. The aspiration of stomach contents into the lungs during obstetric anesthesia. Am J Obstet Gynecol. 1946;52:191-205.</w:t>
      </w:r>
    </w:p>
    <w:p w14:paraId="62CEEBBF" w14:textId="77777777" w:rsidR="00295870" w:rsidRPr="00936FF8" w:rsidRDefault="00295870" w:rsidP="00295870">
      <w:pPr>
        <w:pStyle w:val="EndNoteBibliography"/>
        <w:spacing w:after="0"/>
        <w:rPr>
          <w:rFonts w:asciiTheme="minorHAnsi" w:hAnsiTheme="minorHAnsi" w:cstheme="minorHAnsi"/>
        </w:rPr>
      </w:pPr>
      <w:r w:rsidRPr="00936FF8">
        <w:rPr>
          <w:rFonts w:asciiTheme="minorHAnsi" w:hAnsiTheme="minorHAnsi" w:cstheme="minorHAnsi"/>
        </w:rPr>
        <w:t>2.</w:t>
      </w:r>
      <w:r w:rsidRPr="00936FF8">
        <w:rPr>
          <w:rFonts w:asciiTheme="minorHAnsi" w:hAnsiTheme="minorHAnsi" w:cstheme="minorHAnsi"/>
        </w:rPr>
        <w:tab/>
        <w:t>Practice Guidelines for Preoperative Fasting and the Use of Pharmacologic Agents to Reduce the Risk of Pulmonary Aspiration: Application to Healthy Patients Undergoing Elective Procedures: An Updated Report by the American Society of Anesthesiologists Task Force on Preoperative Fasting and the Use of Pharmacologic Agents to Reduce the Risk of Pulmonary Aspiration*. Anesthesiology. 2017;126(3):376-93.</w:t>
      </w:r>
    </w:p>
    <w:p w14:paraId="51F76DDE" w14:textId="5F0C1BBB" w:rsidR="00295870" w:rsidRDefault="00295870" w:rsidP="00295870">
      <w:pPr>
        <w:pStyle w:val="EndNoteBibliography"/>
        <w:rPr>
          <w:rFonts w:asciiTheme="minorHAnsi" w:hAnsiTheme="minorHAnsi" w:cstheme="minorHAnsi"/>
        </w:rPr>
      </w:pPr>
      <w:r w:rsidRPr="00936FF8">
        <w:rPr>
          <w:rFonts w:asciiTheme="minorHAnsi" w:hAnsiTheme="minorHAnsi" w:cstheme="minorHAnsi"/>
        </w:rPr>
        <w:t>3.</w:t>
      </w:r>
      <w:r w:rsidRPr="00936FF8">
        <w:rPr>
          <w:rFonts w:asciiTheme="minorHAnsi" w:hAnsiTheme="minorHAnsi" w:cstheme="minorHAnsi"/>
        </w:rPr>
        <w:tab/>
        <w:t>Green SM, Leroy PL, Roback MG, Irwin MG, Andolfatto G, Babl FE, et al. An international multidisciplinary consensus statement on fasting before procedural sedation in adults and children. Anaesthesia. 2020;75(3):374-85.</w:t>
      </w:r>
    </w:p>
    <w:p w14:paraId="6E90C4CD" w14:textId="42DACD94" w:rsidR="00D3657F" w:rsidRDefault="00D3657F" w:rsidP="00295870">
      <w:pPr>
        <w:pStyle w:val="EndNoteBibliography"/>
        <w:rPr>
          <w:rFonts w:asciiTheme="minorHAnsi" w:hAnsiTheme="minorHAnsi" w:cstheme="minorHAnsi"/>
        </w:rPr>
      </w:pPr>
    </w:p>
    <w:p w14:paraId="09BA0848" w14:textId="128B1B92" w:rsidR="00102BAC" w:rsidRDefault="00084447">
      <w:pPr>
        <w:rPr>
          <w:rFonts w:cstheme="minorHAnsi"/>
        </w:rPr>
      </w:pPr>
      <w:r w:rsidRPr="00936FF8">
        <w:rPr>
          <w:rFonts w:cstheme="minorHAnsi"/>
        </w:rPr>
        <w:fldChar w:fldCharType="end"/>
      </w:r>
    </w:p>
    <w:p w14:paraId="7DAD6DB4" w14:textId="77777777" w:rsidR="00102BAC" w:rsidRDefault="00102BAC">
      <w:pPr>
        <w:rPr>
          <w:rFonts w:cstheme="minorHAnsi"/>
        </w:rPr>
      </w:pPr>
      <w:r>
        <w:rPr>
          <w:rFonts w:cstheme="minorHAnsi"/>
        </w:rPr>
        <w:br w:type="page"/>
      </w:r>
    </w:p>
    <w:sectPr w:rsidR="001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jalla One">
    <w:altName w:val="Calibri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4B35"/>
    <w:multiLevelType w:val="hybridMultilevel"/>
    <w:tmpl w:val="FC0AB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63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d00fdf2f955hewwdvpewfv5dwe5we9zzz9&quot;&gt;SipTilSend-Converted&lt;record-ids&gt;&lt;item&gt;1&lt;/item&gt;&lt;item&gt;2&lt;/item&gt;&lt;item&gt;3&lt;/item&gt;&lt;/record-ids&gt;&lt;/item&gt;&lt;/Libraries&gt;"/>
  </w:docVars>
  <w:rsids>
    <w:rsidRoot w:val="00061955"/>
    <w:rsid w:val="00002EE4"/>
    <w:rsid w:val="00012027"/>
    <w:rsid w:val="00033343"/>
    <w:rsid w:val="0003593C"/>
    <w:rsid w:val="0004062A"/>
    <w:rsid w:val="0004741C"/>
    <w:rsid w:val="000501C9"/>
    <w:rsid w:val="00060F21"/>
    <w:rsid w:val="00061663"/>
    <w:rsid w:val="00061955"/>
    <w:rsid w:val="0006230E"/>
    <w:rsid w:val="00063508"/>
    <w:rsid w:val="00080F7B"/>
    <w:rsid w:val="00084447"/>
    <w:rsid w:val="00090B02"/>
    <w:rsid w:val="00094F6F"/>
    <w:rsid w:val="000A2F62"/>
    <w:rsid w:val="000A3BBA"/>
    <w:rsid w:val="000B4859"/>
    <w:rsid w:val="000C1CFF"/>
    <w:rsid w:val="000C65BB"/>
    <w:rsid w:val="000D344D"/>
    <w:rsid w:val="000D46E8"/>
    <w:rsid w:val="000D7B6A"/>
    <w:rsid w:val="000E2F34"/>
    <w:rsid w:val="000F21BE"/>
    <w:rsid w:val="000F6959"/>
    <w:rsid w:val="00102BAC"/>
    <w:rsid w:val="00106146"/>
    <w:rsid w:val="0011483F"/>
    <w:rsid w:val="0012532C"/>
    <w:rsid w:val="00133EA3"/>
    <w:rsid w:val="00136283"/>
    <w:rsid w:val="00146B38"/>
    <w:rsid w:val="00155076"/>
    <w:rsid w:val="001603C6"/>
    <w:rsid w:val="00160804"/>
    <w:rsid w:val="00190213"/>
    <w:rsid w:val="001A6A84"/>
    <w:rsid w:val="001B5A57"/>
    <w:rsid w:val="001B6707"/>
    <w:rsid w:val="001C7D4C"/>
    <w:rsid w:val="001D0117"/>
    <w:rsid w:val="001D0F1B"/>
    <w:rsid w:val="001E6095"/>
    <w:rsid w:val="001F5BA3"/>
    <w:rsid w:val="00211E66"/>
    <w:rsid w:val="002143B4"/>
    <w:rsid w:val="002309A9"/>
    <w:rsid w:val="00250959"/>
    <w:rsid w:val="00256E0B"/>
    <w:rsid w:val="0027006B"/>
    <w:rsid w:val="00295870"/>
    <w:rsid w:val="002C4235"/>
    <w:rsid w:val="002D436B"/>
    <w:rsid w:val="002E1933"/>
    <w:rsid w:val="002F5264"/>
    <w:rsid w:val="002F564D"/>
    <w:rsid w:val="002F78FF"/>
    <w:rsid w:val="0030191D"/>
    <w:rsid w:val="003201CD"/>
    <w:rsid w:val="00335A81"/>
    <w:rsid w:val="00354CD9"/>
    <w:rsid w:val="003615E9"/>
    <w:rsid w:val="00364A1C"/>
    <w:rsid w:val="00392A15"/>
    <w:rsid w:val="00397874"/>
    <w:rsid w:val="003A00B7"/>
    <w:rsid w:val="003A5899"/>
    <w:rsid w:val="003D4787"/>
    <w:rsid w:val="003F1ABA"/>
    <w:rsid w:val="004119D2"/>
    <w:rsid w:val="004125E8"/>
    <w:rsid w:val="00415E35"/>
    <w:rsid w:val="00433692"/>
    <w:rsid w:val="00435C07"/>
    <w:rsid w:val="00436AA2"/>
    <w:rsid w:val="00445BFB"/>
    <w:rsid w:val="00456FDA"/>
    <w:rsid w:val="00480B29"/>
    <w:rsid w:val="00486319"/>
    <w:rsid w:val="004914F2"/>
    <w:rsid w:val="00496DDD"/>
    <w:rsid w:val="004A59DF"/>
    <w:rsid w:val="004E1A9A"/>
    <w:rsid w:val="004E3D87"/>
    <w:rsid w:val="004E62AC"/>
    <w:rsid w:val="004F2DD3"/>
    <w:rsid w:val="00502450"/>
    <w:rsid w:val="005064CD"/>
    <w:rsid w:val="0051343C"/>
    <w:rsid w:val="00514F2A"/>
    <w:rsid w:val="00521B68"/>
    <w:rsid w:val="00532511"/>
    <w:rsid w:val="00547CD3"/>
    <w:rsid w:val="0055542F"/>
    <w:rsid w:val="005720BD"/>
    <w:rsid w:val="00581FF4"/>
    <w:rsid w:val="005A0250"/>
    <w:rsid w:val="005A3B6A"/>
    <w:rsid w:val="005C5059"/>
    <w:rsid w:val="005C7E85"/>
    <w:rsid w:val="005D725F"/>
    <w:rsid w:val="005F3277"/>
    <w:rsid w:val="005F51D3"/>
    <w:rsid w:val="00614E93"/>
    <w:rsid w:val="00642DD9"/>
    <w:rsid w:val="00646C6B"/>
    <w:rsid w:val="00651E9C"/>
    <w:rsid w:val="00670862"/>
    <w:rsid w:val="006822CD"/>
    <w:rsid w:val="006D48F3"/>
    <w:rsid w:val="006E7B49"/>
    <w:rsid w:val="00700F37"/>
    <w:rsid w:val="00711EAB"/>
    <w:rsid w:val="00722D3F"/>
    <w:rsid w:val="007252B2"/>
    <w:rsid w:val="00733CC2"/>
    <w:rsid w:val="0073636C"/>
    <w:rsid w:val="007620C0"/>
    <w:rsid w:val="00770C4D"/>
    <w:rsid w:val="00772B72"/>
    <w:rsid w:val="00781DFF"/>
    <w:rsid w:val="0078578A"/>
    <w:rsid w:val="00786186"/>
    <w:rsid w:val="0079455C"/>
    <w:rsid w:val="007B1768"/>
    <w:rsid w:val="007B2065"/>
    <w:rsid w:val="007B7D29"/>
    <w:rsid w:val="007C0C64"/>
    <w:rsid w:val="007D68BF"/>
    <w:rsid w:val="00802970"/>
    <w:rsid w:val="008054D7"/>
    <w:rsid w:val="00825C88"/>
    <w:rsid w:val="008268BB"/>
    <w:rsid w:val="008373B6"/>
    <w:rsid w:val="0084209D"/>
    <w:rsid w:val="00844E68"/>
    <w:rsid w:val="00872C7E"/>
    <w:rsid w:val="00883D0E"/>
    <w:rsid w:val="0089035D"/>
    <w:rsid w:val="008A29D7"/>
    <w:rsid w:val="008A4054"/>
    <w:rsid w:val="008A71F9"/>
    <w:rsid w:val="008B0218"/>
    <w:rsid w:val="008B6BD4"/>
    <w:rsid w:val="008D7873"/>
    <w:rsid w:val="008F7A6F"/>
    <w:rsid w:val="009074E9"/>
    <w:rsid w:val="0093540C"/>
    <w:rsid w:val="00936FF8"/>
    <w:rsid w:val="00937697"/>
    <w:rsid w:val="00944197"/>
    <w:rsid w:val="00962A04"/>
    <w:rsid w:val="00977190"/>
    <w:rsid w:val="00987E32"/>
    <w:rsid w:val="00994416"/>
    <w:rsid w:val="009A07DC"/>
    <w:rsid w:val="009A3EA2"/>
    <w:rsid w:val="009B5622"/>
    <w:rsid w:val="009D4B5E"/>
    <w:rsid w:val="009E4245"/>
    <w:rsid w:val="009E7E69"/>
    <w:rsid w:val="009F38C6"/>
    <w:rsid w:val="009F4387"/>
    <w:rsid w:val="00A0309B"/>
    <w:rsid w:val="00A046B7"/>
    <w:rsid w:val="00A5092A"/>
    <w:rsid w:val="00A56C4A"/>
    <w:rsid w:val="00A65A6D"/>
    <w:rsid w:val="00A73FE2"/>
    <w:rsid w:val="00A75C68"/>
    <w:rsid w:val="00A97495"/>
    <w:rsid w:val="00AA112F"/>
    <w:rsid w:val="00AA1FAB"/>
    <w:rsid w:val="00AB2485"/>
    <w:rsid w:val="00AB2BD6"/>
    <w:rsid w:val="00AF0151"/>
    <w:rsid w:val="00AF31FB"/>
    <w:rsid w:val="00B03998"/>
    <w:rsid w:val="00B039C2"/>
    <w:rsid w:val="00B07FE0"/>
    <w:rsid w:val="00B173BD"/>
    <w:rsid w:val="00B21A07"/>
    <w:rsid w:val="00B41311"/>
    <w:rsid w:val="00B46324"/>
    <w:rsid w:val="00B534D3"/>
    <w:rsid w:val="00B73EDE"/>
    <w:rsid w:val="00B85686"/>
    <w:rsid w:val="00B8637B"/>
    <w:rsid w:val="00B90FA7"/>
    <w:rsid w:val="00B94FFC"/>
    <w:rsid w:val="00B959A3"/>
    <w:rsid w:val="00BD4577"/>
    <w:rsid w:val="00BE7EF7"/>
    <w:rsid w:val="00BF0404"/>
    <w:rsid w:val="00C01C40"/>
    <w:rsid w:val="00C251F4"/>
    <w:rsid w:val="00C41B49"/>
    <w:rsid w:val="00C6358A"/>
    <w:rsid w:val="00C90642"/>
    <w:rsid w:val="00CA556A"/>
    <w:rsid w:val="00CB52E3"/>
    <w:rsid w:val="00CB6C63"/>
    <w:rsid w:val="00CB7180"/>
    <w:rsid w:val="00CC1358"/>
    <w:rsid w:val="00CC2BAD"/>
    <w:rsid w:val="00CD4BD7"/>
    <w:rsid w:val="00CD4DAC"/>
    <w:rsid w:val="00CD6479"/>
    <w:rsid w:val="00CE610D"/>
    <w:rsid w:val="00D00050"/>
    <w:rsid w:val="00D00336"/>
    <w:rsid w:val="00D02E5E"/>
    <w:rsid w:val="00D05E5E"/>
    <w:rsid w:val="00D1149A"/>
    <w:rsid w:val="00D22174"/>
    <w:rsid w:val="00D23EC1"/>
    <w:rsid w:val="00D3657F"/>
    <w:rsid w:val="00D46DC3"/>
    <w:rsid w:val="00D622DA"/>
    <w:rsid w:val="00D737B6"/>
    <w:rsid w:val="00D75A68"/>
    <w:rsid w:val="00D91F8B"/>
    <w:rsid w:val="00DD2B29"/>
    <w:rsid w:val="00DE1B34"/>
    <w:rsid w:val="00DF4E1C"/>
    <w:rsid w:val="00E04315"/>
    <w:rsid w:val="00E05131"/>
    <w:rsid w:val="00E10FF2"/>
    <w:rsid w:val="00E12C5F"/>
    <w:rsid w:val="00E153D2"/>
    <w:rsid w:val="00E23ABB"/>
    <w:rsid w:val="00E26D52"/>
    <w:rsid w:val="00E40C98"/>
    <w:rsid w:val="00E46DCF"/>
    <w:rsid w:val="00E56855"/>
    <w:rsid w:val="00E7570F"/>
    <w:rsid w:val="00E84D0D"/>
    <w:rsid w:val="00EA1918"/>
    <w:rsid w:val="00EA43AF"/>
    <w:rsid w:val="00EA4626"/>
    <w:rsid w:val="00EB2599"/>
    <w:rsid w:val="00ED0ACA"/>
    <w:rsid w:val="00EE3803"/>
    <w:rsid w:val="00F22B6B"/>
    <w:rsid w:val="00F530E2"/>
    <w:rsid w:val="00F53A3E"/>
    <w:rsid w:val="00F770B9"/>
    <w:rsid w:val="00F94C96"/>
    <w:rsid w:val="00FB2E55"/>
    <w:rsid w:val="00FC21F6"/>
    <w:rsid w:val="00FC6420"/>
    <w:rsid w:val="00FD1054"/>
    <w:rsid w:val="00FD6774"/>
    <w:rsid w:val="00FE577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FE4D"/>
  <w15:chartTrackingRefBased/>
  <w15:docId w15:val="{4574ABBF-4BD6-4490-AF06-E1D28EA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FF"/>
    <w:pPr>
      <w:keepNext/>
      <w:keepLines/>
      <w:spacing w:after="0" w:line="240" w:lineRule="auto"/>
      <w:outlineLvl w:val="0"/>
    </w:pPr>
    <w:rPr>
      <w:rFonts w:ascii="Fjalla One" w:eastAsiaTheme="majorEastAsia" w:hAnsi="Fjalla One" w:cstheme="majorBidi"/>
      <w:color w:val="8AC75A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8444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444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8444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84447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D344D"/>
    <w:pPr>
      <w:ind w:left="720"/>
      <w:contextualSpacing/>
    </w:pPr>
  </w:style>
  <w:style w:type="table" w:styleId="TableGrid">
    <w:name w:val="Table Grid"/>
    <w:basedOn w:val="TableNormal"/>
    <w:uiPriority w:val="39"/>
    <w:rsid w:val="00B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DFF"/>
    <w:rPr>
      <w:rFonts w:ascii="Fjalla One" w:eastAsiaTheme="majorEastAsia" w:hAnsi="Fjalla One" w:cstheme="majorBidi"/>
      <w:color w:val="8AC75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Close</dc:creator>
  <cp:keywords/>
  <dc:description/>
  <cp:lastModifiedBy>Jacqueline Close</cp:lastModifiedBy>
  <cp:revision>3</cp:revision>
  <dcterms:created xsi:type="dcterms:W3CDTF">2023-10-20T04:58:00Z</dcterms:created>
  <dcterms:modified xsi:type="dcterms:W3CDTF">2023-10-20T04:58:00Z</dcterms:modified>
</cp:coreProperties>
</file>