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D9E4D3" w14:textId="3F10C7A9" w:rsidR="00BC0262" w:rsidRDefault="00BC0262" w:rsidP="008A3F4F">
      <w:pPr>
        <w:jc w:val="both"/>
        <w:rPr>
          <w:b/>
          <w:sz w:val="28"/>
        </w:rPr>
      </w:pPr>
      <w:r>
        <w:rPr>
          <w:b/>
          <w:noProof/>
          <w:sz w:val="28"/>
          <w:lang w:val="en-AU" w:eastAsia="en-AU"/>
        </w:rPr>
        <w:drawing>
          <wp:inline distT="0" distB="0" distL="0" distR="0" wp14:anchorId="7F439361" wp14:editId="23A45EB2">
            <wp:extent cx="5731510" cy="159448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ZHFR Logo 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594485"/>
                    </a:xfrm>
                    <a:prstGeom prst="rect">
                      <a:avLst/>
                    </a:prstGeom>
                  </pic:spPr>
                </pic:pic>
              </a:graphicData>
            </a:graphic>
          </wp:inline>
        </w:drawing>
      </w:r>
    </w:p>
    <w:p w14:paraId="6E2914E5" w14:textId="77777777" w:rsidR="00F80D37" w:rsidRDefault="00F80D37" w:rsidP="008A3F4F">
      <w:pPr>
        <w:jc w:val="both"/>
        <w:rPr>
          <w:b/>
          <w:sz w:val="28"/>
        </w:rPr>
      </w:pPr>
    </w:p>
    <w:p w14:paraId="51BCF851" w14:textId="4767A4C6" w:rsidR="005E326E" w:rsidRPr="00F80D37" w:rsidRDefault="00A40630" w:rsidP="008A3F4F">
      <w:pPr>
        <w:jc w:val="both"/>
        <w:rPr>
          <w:rFonts w:cstheme="minorHAnsi"/>
          <w:b/>
          <w:sz w:val="28"/>
        </w:rPr>
      </w:pPr>
      <w:r w:rsidRPr="00F80D37">
        <w:rPr>
          <w:rFonts w:cstheme="minorHAnsi"/>
          <w:b/>
          <w:sz w:val="28"/>
        </w:rPr>
        <w:t xml:space="preserve">Generic </w:t>
      </w:r>
      <w:r w:rsidR="00D87A70" w:rsidRPr="00F80D37">
        <w:rPr>
          <w:rFonts w:cstheme="minorHAnsi"/>
          <w:b/>
          <w:sz w:val="28"/>
        </w:rPr>
        <w:t>business plan document</w:t>
      </w:r>
    </w:p>
    <w:p w14:paraId="598F2E4A" w14:textId="337BCD76" w:rsidR="00A40630" w:rsidRPr="00F80D37" w:rsidRDefault="00032EDF" w:rsidP="00EE0F42">
      <w:pPr>
        <w:jc w:val="both"/>
        <w:rPr>
          <w:rFonts w:cstheme="minorHAnsi"/>
          <w:b/>
          <w:sz w:val="28"/>
        </w:rPr>
      </w:pPr>
      <w:r w:rsidRPr="00F80D37">
        <w:rPr>
          <w:rFonts w:cstheme="minorHAnsi"/>
          <w:b/>
          <w:sz w:val="28"/>
        </w:rPr>
        <w:t>P</w:t>
      </w:r>
      <w:r w:rsidR="00A40630" w:rsidRPr="00F80D37">
        <w:rPr>
          <w:rFonts w:cstheme="minorHAnsi"/>
          <w:b/>
          <w:sz w:val="28"/>
        </w:rPr>
        <w:t>articipation in the Australian and New Zealand Hip Fracture Registry</w:t>
      </w:r>
      <w:r w:rsidRPr="00F80D37">
        <w:rPr>
          <w:rFonts w:cstheme="minorHAnsi"/>
          <w:b/>
          <w:sz w:val="28"/>
        </w:rPr>
        <w:t xml:space="preserve"> by </w:t>
      </w:r>
      <w:r w:rsidRPr="00F80D37">
        <w:rPr>
          <w:rFonts w:cstheme="minorHAnsi"/>
          <w:b/>
          <w:color w:val="FF0000"/>
          <w:sz w:val="28"/>
        </w:rPr>
        <w:t>implementation/development</w:t>
      </w:r>
      <w:r w:rsidRPr="00F80D37">
        <w:rPr>
          <w:rFonts w:cstheme="minorHAnsi"/>
          <w:b/>
          <w:sz w:val="28"/>
        </w:rPr>
        <w:t xml:space="preserve"> of </w:t>
      </w:r>
      <w:r w:rsidRPr="00F80D37">
        <w:rPr>
          <w:rFonts w:cstheme="minorHAnsi"/>
          <w:b/>
          <w:color w:val="FF0000"/>
          <w:sz w:val="28"/>
        </w:rPr>
        <w:t>an</w:t>
      </w:r>
      <w:r w:rsidR="00325D11" w:rsidRPr="00F80D37">
        <w:rPr>
          <w:rFonts w:cstheme="minorHAnsi"/>
          <w:b/>
          <w:color w:val="FF0000"/>
          <w:sz w:val="28"/>
        </w:rPr>
        <w:t>/the</w:t>
      </w:r>
      <w:r w:rsidRPr="00F80D37">
        <w:rPr>
          <w:rFonts w:cstheme="minorHAnsi"/>
          <w:b/>
          <w:sz w:val="28"/>
        </w:rPr>
        <w:t xml:space="preserve"> Orthogeriatrics Service</w:t>
      </w:r>
      <w:r w:rsidR="00A40630" w:rsidRPr="00F80D37">
        <w:rPr>
          <w:rFonts w:cstheme="minorHAnsi"/>
          <w:b/>
          <w:sz w:val="28"/>
        </w:rPr>
        <w:t xml:space="preserve"> for [</w:t>
      </w:r>
      <w:r w:rsidR="00A40630" w:rsidRPr="00F80D37">
        <w:rPr>
          <w:rFonts w:cstheme="minorHAnsi"/>
          <w:b/>
          <w:color w:val="FF0000"/>
          <w:sz w:val="28"/>
        </w:rPr>
        <w:t>Insert name of hospital</w:t>
      </w:r>
      <w:r w:rsidR="00A40630" w:rsidRPr="00F80D37">
        <w:rPr>
          <w:rFonts w:cstheme="minorHAnsi"/>
          <w:b/>
          <w:sz w:val="28"/>
        </w:rPr>
        <w:t>]</w:t>
      </w:r>
    </w:p>
    <w:p w14:paraId="64EFB82E" w14:textId="4D2C7300" w:rsidR="00F77227" w:rsidRDefault="00F77227" w:rsidP="00EE0F42">
      <w:pPr>
        <w:jc w:val="both"/>
        <w:rPr>
          <w:rFonts w:cstheme="minorHAnsi"/>
          <w:color w:val="FF0000"/>
        </w:rPr>
      </w:pPr>
    </w:p>
    <w:p w14:paraId="3D449A19" w14:textId="77777777" w:rsidR="00DE19A2" w:rsidRPr="00F80D37" w:rsidRDefault="00DE19A2" w:rsidP="00EE0F42">
      <w:pPr>
        <w:jc w:val="both"/>
        <w:rPr>
          <w:rFonts w:cstheme="minorHAnsi"/>
          <w:color w:val="FF0000"/>
        </w:rPr>
      </w:pP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804CB6" w:rsidRPr="00F80D37" w14:paraId="0D27D915" w14:textId="77777777" w:rsidTr="00F80D37">
        <w:trPr>
          <w:tblHeader/>
        </w:trPr>
        <w:tc>
          <w:tcPr>
            <w:tcW w:w="9498" w:type="dxa"/>
            <w:shd w:val="clear" w:color="auto" w:fill="F3F3F3"/>
          </w:tcPr>
          <w:p w14:paraId="69B984C8" w14:textId="45701074" w:rsidR="00804CB6" w:rsidRPr="00F80D37" w:rsidRDefault="00D87A70" w:rsidP="005F7764">
            <w:pPr>
              <w:pStyle w:val="Subhead1"/>
              <w:tabs>
                <w:tab w:val="left" w:pos="660"/>
                <w:tab w:val="right" w:leader="dot" w:pos="9063"/>
              </w:tabs>
              <w:spacing w:afterLines="36" w:after="86" w:line="259" w:lineRule="auto"/>
              <w:rPr>
                <w:rFonts w:asciiTheme="minorHAnsi" w:hAnsiTheme="minorHAnsi" w:cstheme="minorHAnsi"/>
                <w:b/>
              </w:rPr>
            </w:pPr>
            <w:r w:rsidRPr="00F80D37">
              <w:rPr>
                <w:rFonts w:asciiTheme="minorHAnsi" w:hAnsiTheme="minorHAnsi" w:cstheme="minorHAnsi"/>
                <w:b/>
                <w:color w:val="FF0000"/>
              </w:rPr>
              <w:t>How to use this document</w:t>
            </w:r>
          </w:p>
        </w:tc>
      </w:tr>
      <w:tr w:rsidR="00804CB6" w:rsidRPr="00F80D37" w14:paraId="41DB18E4" w14:textId="77777777" w:rsidTr="00F80D37">
        <w:trPr>
          <w:trHeight w:val="1643"/>
          <w:tblHeader/>
        </w:trPr>
        <w:tc>
          <w:tcPr>
            <w:tcW w:w="9498" w:type="dxa"/>
            <w:shd w:val="clear" w:color="auto" w:fill="auto"/>
          </w:tcPr>
          <w:p w14:paraId="55D67B69" w14:textId="366C46E5" w:rsidR="00804CB6" w:rsidRPr="00F80D37" w:rsidRDefault="00085598" w:rsidP="00F80D37">
            <w:pPr>
              <w:pStyle w:val="ListParagraph"/>
              <w:numPr>
                <w:ilvl w:val="0"/>
                <w:numId w:val="38"/>
              </w:numPr>
              <w:tabs>
                <w:tab w:val="left" w:pos="3015"/>
              </w:tabs>
              <w:spacing w:afterLines="36" w:after="86"/>
              <w:ind w:left="714" w:hanging="357"/>
              <w:jc w:val="both"/>
              <w:rPr>
                <w:rFonts w:cstheme="minorHAnsi"/>
                <w:noProof/>
                <w:sz w:val="28"/>
                <w:szCs w:val="28"/>
              </w:rPr>
            </w:pPr>
            <w:r w:rsidRPr="00F80D37">
              <w:rPr>
                <w:rFonts w:cstheme="minorHAnsi"/>
                <w:noProof/>
                <w:sz w:val="28"/>
                <w:szCs w:val="28"/>
              </w:rPr>
              <w:t xml:space="preserve">This </w:t>
            </w:r>
            <w:r w:rsidR="00566779" w:rsidRPr="00F80D37">
              <w:rPr>
                <w:rFonts w:cstheme="minorHAnsi"/>
                <w:noProof/>
                <w:sz w:val="28"/>
                <w:szCs w:val="28"/>
              </w:rPr>
              <w:t>document has been formulated to</w:t>
            </w:r>
            <w:r w:rsidR="00AB47E6" w:rsidRPr="00F80D37">
              <w:rPr>
                <w:rFonts w:cstheme="minorHAnsi"/>
                <w:noProof/>
                <w:sz w:val="28"/>
                <w:szCs w:val="28"/>
              </w:rPr>
              <w:t xml:space="preserve"> assist sites with pa</w:t>
            </w:r>
            <w:r w:rsidR="00F80D37" w:rsidRPr="00F80D37">
              <w:rPr>
                <w:rFonts w:cstheme="minorHAnsi"/>
                <w:noProof/>
                <w:sz w:val="28"/>
                <w:szCs w:val="28"/>
              </w:rPr>
              <w:t>r</w:t>
            </w:r>
            <w:r w:rsidR="00AB47E6" w:rsidRPr="00F80D37">
              <w:rPr>
                <w:rFonts w:cstheme="minorHAnsi"/>
                <w:noProof/>
                <w:sz w:val="28"/>
                <w:szCs w:val="28"/>
              </w:rPr>
              <w:t>ticipation</w:t>
            </w:r>
            <w:r w:rsidR="00566779" w:rsidRPr="00F80D37">
              <w:rPr>
                <w:rFonts w:cstheme="minorHAnsi"/>
                <w:noProof/>
                <w:sz w:val="28"/>
                <w:szCs w:val="28"/>
              </w:rPr>
              <w:t xml:space="preserve"> in t</w:t>
            </w:r>
            <w:r w:rsidR="00F80D37" w:rsidRPr="00F80D37">
              <w:rPr>
                <w:rFonts w:cstheme="minorHAnsi"/>
                <w:noProof/>
                <w:sz w:val="28"/>
                <w:szCs w:val="28"/>
              </w:rPr>
              <w:t xml:space="preserve">he ANZHFR by implementation of </w:t>
            </w:r>
            <w:r w:rsidR="00566779" w:rsidRPr="00F80D37">
              <w:rPr>
                <w:rFonts w:cstheme="minorHAnsi"/>
                <w:noProof/>
                <w:sz w:val="28"/>
                <w:szCs w:val="28"/>
              </w:rPr>
              <w:t>an Orthogeriatric service at your hospital</w:t>
            </w:r>
            <w:r w:rsidR="00D87A70" w:rsidRPr="00F80D37">
              <w:rPr>
                <w:rFonts w:cstheme="minorHAnsi"/>
                <w:noProof/>
                <w:sz w:val="28"/>
                <w:szCs w:val="28"/>
              </w:rPr>
              <w:t>.</w:t>
            </w:r>
          </w:p>
          <w:p w14:paraId="3F9BCA3B" w14:textId="328D469D" w:rsidR="00566779" w:rsidRPr="00F80D37" w:rsidRDefault="00566779" w:rsidP="00F80D37">
            <w:pPr>
              <w:pStyle w:val="ListParagraph"/>
              <w:numPr>
                <w:ilvl w:val="0"/>
                <w:numId w:val="38"/>
              </w:numPr>
              <w:tabs>
                <w:tab w:val="left" w:pos="3015"/>
              </w:tabs>
              <w:spacing w:afterLines="36" w:after="86"/>
              <w:jc w:val="both"/>
              <w:rPr>
                <w:rFonts w:cstheme="minorHAnsi"/>
                <w:noProof/>
                <w:sz w:val="28"/>
                <w:szCs w:val="28"/>
              </w:rPr>
            </w:pPr>
            <w:r w:rsidRPr="00F80D37">
              <w:rPr>
                <w:rFonts w:cstheme="minorHAnsi"/>
                <w:noProof/>
                <w:sz w:val="28"/>
                <w:szCs w:val="28"/>
              </w:rPr>
              <w:t>The document provides comprehensive insight into hip fracture care in Australia, the international experience and a background to the development of the Hip Fracture Care Clinical Care Standards.</w:t>
            </w:r>
          </w:p>
          <w:p w14:paraId="5BAEC4C5" w14:textId="4ED61DAD" w:rsidR="00566779" w:rsidRPr="00F80D37" w:rsidRDefault="00566779" w:rsidP="00F80D37">
            <w:pPr>
              <w:pStyle w:val="ListParagraph"/>
              <w:numPr>
                <w:ilvl w:val="0"/>
                <w:numId w:val="38"/>
              </w:numPr>
              <w:tabs>
                <w:tab w:val="left" w:pos="3015"/>
              </w:tabs>
              <w:spacing w:afterLines="36" w:after="86"/>
              <w:jc w:val="both"/>
              <w:rPr>
                <w:rFonts w:cstheme="minorHAnsi"/>
                <w:noProof/>
                <w:sz w:val="28"/>
                <w:szCs w:val="28"/>
              </w:rPr>
            </w:pPr>
            <w:r w:rsidRPr="00F80D37">
              <w:rPr>
                <w:rFonts w:cstheme="minorHAnsi"/>
                <w:noProof/>
                <w:sz w:val="28"/>
                <w:szCs w:val="28"/>
              </w:rPr>
              <w:t xml:space="preserve">Sites can choose to use the generic business case </w:t>
            </w:r>
            <w:r w:rsidR="00D87A70" w:rsidRPr="00F80D37">
              <w:rPr>
                <w:rFonts w:cstheme="minorHAnsi"/>
                <w:noProof/>
                <w:sz w:val="28"/>
                <w:szCs w:val="28"/>
              </w:rPr>
              <w:t>document</w:t>
            </w:r>
            <w:r w:rsidRPr="00F80D37">
              <w:rPr>
                <w:rFonts w:cstheme="minorHAnsi"/>
                <w:noProof/>
                <w:sz w:val="28"/>
                <w:szCs w:val="28"/>
              </w:rPr>
              <w:t xml:space="preserve"> and inse</w:t>
            </w:r>
            <w:r w:rsidR="00AB47E6" w:rsidRPr="00F80D37">
              <w:rPr>
                <w:rFonts w:cstheme="minorHAnsi"/>
                <w:noProof/>
                <w:sz w:val="28"/>
                <w:szCs w:val="28"/>
              </w:rPr>
              <w:t>r</w:t>
            </w:r>
            <w:r w:rsidRPr="00F80D37">
              <w:rPr>
                <w:rFonts w:cstheme="minorHAnsi"/>
                <w:noProof/>
                <w:sz w:val="28"/>
                <w:szCs w:val="28"/>
              </w:rPr>
              <w:t>t the ho</w:t>
            </w:r>
            <w:r w:rsidR="00D87A70" w:rsidRPr="00F80D37">
              <w:rPr>
                <w:rFonts w:cstheme="minorHAnsi"/>
                <w:noProof/>
                <w:sz w:val="28"/>
                <w:szCs w:val="28"/>
              </w:rPr>
              <w:t>s</w:t>
            </w:r>
            <w:r w:rsidRPr="00F80D37">
              <w:rPr>
                <w:rFonts w:cstheme="minorHAnsi"/>
                <w:noProof/>
                <w:sz w:val="28"/>
                <w:szCs w:val="28"/>
              </w:rPr>
              <w:t>pital name and approprate figures in the space provided</w:t>
            </w:r>
            <w:r w:rsidR="00D87A70" w:rsidRPr="00F80D37">
              <w:rPr>
                <w:rFonts w:cstheme="minorHAnsi"/>
                <w:noProof/>
                <w:sz w:val="28"/>
                <w:szCs w:val="28"/>
              </w:rPr>
              <w:t>.</w:t>
            </w:r>
          </w:p>
          <w:p w14:paraId="5B519F5E" w14:textId="77777777" w:rsidR="00F80D37" w:rsidRDefault="00566779" w:rsidP="00F80D37">
            <w:pPr>
              <w:pStyle w:val="ListParagraph"/>
              <w:numPr>
                <w:ilvl w:val="0"/>
                <w:numId w:val="38"/>
              </w:numPr>
              <w:tabs>
                <w:tab w:val="left" w:pos="3015"/>
              </w:tabs>
              <w:spacing w:afterLines="36" w:after="86"/>
              <w:ind w:left="714" w:hanging="357"/>
              <w:jc w:val="both"/>
              <w:rPr>
                <w:rFonts w:cstheme="minorHAnsi"/>
                <w:noProof/>
                <w:sz w:val="28"/>
                <w:szCs w:val="28"/>
              </w:rPr>
            </w:pPr>
            <w:r w:rsidRPr="00F80D37">
              <w:rPr>
                <w:rFonts w:cstheme="minorHAnsi"/>
                <w:noProof/>
                <w:sz w:val="28"/>
                <w:szCs w:val="28"/>
              </w:rPr>
              <w:t>A</w:t>
            </w:r>
            <w:r w:rsidR="00AB47E6" w:rsidRPr="00F80D37">
              <w:rPr>
                <w:rFonts w:cstheme="minorHAnsi"/>
                <w:noProof/>
                <w:sz w:val="28"/>
                <w:szCs w:val="28"/>
              </w:rPr>
              <w:t>lternatively, hospital sites can</w:t>
            </w:r>
            <w:r w:rsidRPr="00F80D37">
              <w:rPr>
                <w:rFonts w:cstheme="minorHAnsi"/>
                <w:noProof/>
                <w:sz w:val="28"/>
                <w:szCs w:val="28"/>
              </w:rPr>
              <w:t xml:space="preserve"> choose to use certain aspects of this document and delete information that is not required.</w:t>
            </w:r>
          </w:p>
          <w:p w14:paraId="6BA2065D" w14:textId="34271B5D" w:rsidR="00566779" w:rsidRPr="00F80D37" w:rsidRDefault="00566779" w:rsidP="00F80D37">
            <w:pPr>
              <w:pStyle w:val="ListParagraph"/>
              <w:numPr>
                <w:ilvl w:val="0"/>
                <w:numId w:val="38"/>
              </w:numPr>
              <w:tabs>
                <w:tab w:val="left" w:pos="3015"/>
              </w:tabs>
              <w:spacing w:afterLines="36" w:after="86"/>
              <w:ind w:left="714" w:hanging="357"/>
              <w:jc w:val="both"/>
              <w:rPr>
                <w:rFonts w:cstheme="minorHAnsi"/>
                <w:noProof/>
                <w:sz w:val="28"/>
                <w:szCs w:val="28"/>
              </w:rPr>
            </w:pPr>
            <w:r w:rsidRPr="00F80D37">
              <w:rPr>
                <w:rFonts w:cstheme="minorHAnsi"/>
                <w:noProof/>
                <w:sz w:val="28"/>
                <w:szCs w:val="28"/>
              </w:rPr>
              <w:t>Please check with your executive unit whether your hospital has a preferred business case template</w:t>
            </w:r>
            <w:r w:rsidR="00D87A70" w:rsidRPr="00F80D37">
              <w:rPr>
                <w:rFonts w:cstheme="minorHAnsi"/>
                <w:noProof/>
                <w:sz w:val="28"/>
                <w:szCs w:val="28"/>
              </w:rPr>
              <w:t>.</w:t>
            </w:r>
          </w:p>
        </w:tc>
      </w:tr>
    </w:tbl>
    <w:p w14:paraId="157A8B10" w14:textId="77777777" w:rsidR="00884669" w:rsidRPr="00F77227" w:rsidRDefault="00884669" w:rsidP="005F7764">
      <w:pPr>
        <w:spacing w:afterLines="160" w:after="384"/>
        <w:jc w:val="both"/>
        <w:rPr>
          <w:color w:val="FF0000"/>
        </w:rPr>
      </w:pPr>
    </w:p>
    <w:p w14:paraId="5B799ABF" w14:textId="77777777" w:rsidR="00F77227" w:rsidRDefault="00F77227" w:rsidP="008A3F4F">
      <w:pPr>
        <w:jc w:val="both"/>
      </w:pPr>
    </w:p>
    <w:p w14:paraId="633269A7" w14:textId="77777777" w:rsidR="00DB2B39" w:rsidRDefault="00DB2B39" w:rsidP="008A3F4F">
      <w:pPr>
        <w:jc w:val="both"/>
      </w:pPr>
    </w:p>
    <w:p w14:paraId="200C0476" w14:textId="77777777" w:rsidR="00DB2B39" w:rsidRDefault="00DB2B39" w:rsidP="008A3F4F">
      <w:pPr>
        <w:jc w:val="both"/>
      </w:pPr>
    </w:p>
    <w:p w14:paraId="0813DFB6" w14:textId="77777777" w:rsidR="00DB2B39" w:rsidRDefault="00DB2B39" w:rsidP="008A3F4F">
      <w:pPr>
        <w:jc w:val="both"/>
      </w:pPr>
      <w:r>
        <w:br w:type="page"/>
      </w:r>
    </w:p>
    <w:sdt>
      <w:sdtPr>
        <w:rPr>
          <w:rFonts w:asciiTheme="minorHAnsi" w:eastAsiaTheme="minorHAnsi" w:hAnsiTheme="minorHAnsi" w:cstheme="minorBidi"/>
          <w:color w:val="auto"/>
          <w:sz w:val="22"/>
          <w:szCs w:val="22"/>
          <w:lang w:val="en-NZ"/>
        </w:rPr>
        <w:id w:val="-101954050"/>
        <w:docPartObj>
          <w:docPartGallery w:val="Table of Contents"/>
          <w:docPartUnique/>
        </w:docPartObj>
      </w:sdtPr>
      <w:sdtEndPr>
        <w:rPr>
          <w:b/>
          <w:bCs/>
          <w:noProof/>
        </w:rPr>
      </w:sdtEndPr>
      <w:sdtContent>
        <w:p w14:paraId="451130EA" w14:textId="5E805983" w:rsidR="0003357B" w:rsidRDefault="0003357B">
          <w:pPr>
            <w:pStyle w:val="TOCHeading"/>
          </w:pPr>
          <w:r>
            <w:t>Contents</w:t>
          </w:r>
        </w:p>
        <w:p w14:paraId="7AEFBCCD" w14:textId="5D2D5224" w:rsidR="002C2ADB" w:rsidRDefault="0003357B">
          <w:pPr>
            <w:pStyle w:val="TOC1"/>
            <w:tabs>
              <w:tab w:val="right" w:leader="dot" w:pos="9016"/>
            </w:tabs>
            <w:rPr>
              <w:rFonts w:eastAsiaTheme="minorEastAsia"/>
              <w:noProof/>
              <w:lang w:val="en-AU" w:eastAsia="en-AU"/>
            </w:rPr>
          </w:pPr>
          <w:r>
            <w:fldChar w:fldCharType="begin"/>
          </w:r>
          <w:r>
            <w:instrText xml:space="preserve"> TOC \o "1-3" \h \z \u </w:instrText>
          </w:r>
          <w:r>
            <w:fldChar w:fldCharType="separate"/>
          </w:r>
          <w:hyperlink w:anchor="_Toc21443851" w:history="1">
            <w:r w:rsidR="002C2ADB" w:rsidRPr="007B792B">
              <w:rPr>
                <w:rStyle w:val="Hyperlink"/>
                <w:noProof/>
              </w:rPr>
              <w:t>Executive Summary</w:t>
            </w:r>
            <w:r w:rsidR="002C2ADB">
              <w:rPr>
                <w:noProof/>
                <w:webHidden/>
              </w:rPr>
              <w:tab/>
            </w:r>
            <w:r w:rsidR="002C2ADB">
              <w:rPr>
                <w:noProof/>
                <w:webHidden/>
              </w:rPr>
              <w:fldChar w:fldCharType="begin"/>
            </w:r>
            <w:r w:rsidR="002C2ADB">
              <w:rPr>
                <w:noProof/>
                <w:webHidden/>
              </w:rPr>
              <w:instrText xml:space="preserve"> PAGEREF _Toc21443851 \h </w:instrText>
            </w:r>
            <w:r w:rsidR="002C2ADB">
              <w:rPr>
                <w:noProof/>
                <w:webHidden/>
              </w:rPr>
            </w:r>
            <w:r w:rsidR="002C2ADB">
              <w:rPr>
                <w:noProof/>
                <w:webHidden/>
              </w:rPr>
              <w:fldChar w:fldCharType="separate"/>
            </w:r>
            <w:r w:rsidR="002C2ADB">
              <w:rPr>
                <w:noProof/>
                <w:webHidden/>
              </w:rPr>
              <w:t>3</w:t>
            </w:r>
            <w:r w:rsidR="002C2ADB">
              <w:rPr>
                <w:noProof/>
                <w:webHidden/>
              </w:rPr>
              <w:fldChar w:fldCharType="end"/>
            </w:r>
          </w:hyperlink>
        </w:p>
        <w:p w14:paraId="5A2AF41D" w14:textId="1C0B20B0" w:rsidR="002C2ADB" w:rsidRDefault="002C2ADB">
          <w:pPr>
            <w:pStyle w:val="TOC1"/>
            <w:tabs>
              <w:tab w:val="right" w:leader="dot" w:pos="9016"/>
            </w:tabs>
            <w:rPr>
              <w:rFonts w:eastAsiaTheme="minorEastAsia"/>
              <w:noProof/>
              <w:lang w:val="en-AU" w:eastAsia="en-AU"/>
            </w:rPr>
          </w:pPr>
          <w:hyperlink w:anchor="_Toc21443852" w:history="1">
            <w:r w:rsidRPr="007B792B">
              <w:rPr>
                <w:rStyle w:val="Hyperlink"/>
                <w:noProof/>
              </w:rPr>
              <w:t>The impact of hip fracture in Australia</w:t>
            </w:r>
            <w:r>
              <w:rPr>
                <w:noProof/>
                <w:webHidden/>
              </w:rPr>
              <w:tab/>
            </w:r>
            <w:r>
              <w:rPr>
                <w:noProof/>
                <w:webHidden/>
              </w:rPr>
              <w:fldChar w:fldCharType="begin"/>
            </w:r>
            <w:r>
              <w:rPr>
                <w:noProof/>
                <w:webHidden/>
              </w:rPr>
              <w:instrText xml:space="preserve"> PAGEREF _Toc21443852 \h </w:instrText>
            </w:r>
            <w:r>
              <w:rPr>
                <w:noProof/>
                <w:webHidden/>
              </w:rPr>
            </w:r>
            <w:r>
              <w:rPr>
                <w:noProof/>
                <w:webHidden/>
              </w:rPr>
              <w:fldChar w:fldCharType="separate"/>
            </w:r>
            <w:r>
              <w:rPr>
                <w:noProof/>
                <w:webHidden/>
              </w:rPr>
              <w:t>5</w:t>
            </w:r>
            <w:r>
              <w:rPr>
                <w:noProof/>
                <w:webHidden/>
              </w:rPr>
              <w:fldChar w:fldCharType="end"/>
            </w:r>
          </w:hyperlink>
        </w:p>
        <w:p w14:paraId="3CE3EF40" w14:textId="12D7ACBF" w:rsidR="002C2ADB" w:rsidRDefault="002C2ADB">
          <w:pPr>
            <w:pStyle w:val="TOC1"/>
            <w:tabs>
              <w:tab w:val="right" w:leader="dot" w:pos="9016"/>
            </w:tabs>
            <w:rPr>
              <w:rFonts w:eastAsiaTheme="minorEastAsia"/>
              <w:noProof/>
              <w:lang w:val="en-AU" w:eastAsia="en-AU"/>
            </w:rPr>
          </w:pPr>
          <w:hyperlink w:anchor="_Toc21443853" w:history="1">
            <w:r w:rsidRPr="007B792B">
              <w:rPr>
                <w:rStyle w:val="Hyperlink"/>
                <w:noProof/>
              </w:rPr>
              <w:t>Best practice in hip fracture care: International experience</w:t>
            </w:r>
            <w:r>
              <w:rPr>
                <w:noProof/>
                <w:webHidden/>
              </w:rPr>
              <w:tab/>
            </w:r>
            <w:r>
              <w:rPr>
                <w:noProof/>
                <w:webHidden/>
              </w:rPr>
              <w:fldChar w:fldCharType="begin"/>
            </w:r>
            <w:r>
              <w:rPr>
                <w:noProof/>
                <w:webHidden/>
              </w:rPr>
              <w:instrText xml:space="preserve"> PAGEREF _Toc21443853 \h </w:instrText>
            </w:r>
            <w:r>
              <w:rPr>
                <w:noProof/>
                <w:webHidden/>
              </w:rPr>
            </w:r>
            <w:r>
              <w:rPr>
                <w:noProof/>
                <w:webHidden/>
              </w:rPr>
              <w:fldChar w:fldCharType="separate"/>
            </w:r>
            <w:r>
              <w:rPr>
                <w:noProof/>
                <w:webHidden/>
              </w:rPr>
              <w:t>6</w:t>
            </w:r>
            <w:r>
              <w:rPr>
                <w:noProof/>
                <w:webHidden/>
              </w:rPr>
              <w:fldChar w:fldCharType="end"/>
            </w:r>
          </w:hyperlink>
        </w:p>
        <w:p w14:paraId="0F5E479D" w14:textId="58B16974" w:rsidR="002C2ADB" w:rsidRDefault="002C2ADB">
          <w:pPr>
            <w:pStyle w:val="TOC2"/>
            <w:tabs>
              <w:tab w:val="right" w:leader="dot" w:pos="9016"/>
            </w:tabs>
            <w:rPr>
              <w:rFonts w:eastAsiaTheme="minorEastAsia"/>
              <w:noProof/>
              <w:lang w:val="en-AU" w:eastAsia="en-AU"/>
            </w:rPr>
          </w:pPr>
          <w:hyperlink w:anchor="_Toc21443854" w:history="1">
            <w:r w:rsidRPr="007B792B">
              <w:rPr>
                <w:rStyle w:val="Hyperlink"/>
                <w:noProof/>
              </w:rPr>
              <w:t>Development of the combined orthogeriatric model of care</w:t>
            </w:r>
            <w:r>
              <w:rPr>
                <w:noProof/>
                <w:webHidden/>
              </w:rPr>
              <w:tab/>
            </w:r>
            <w:r>
              <w:rPr>
                <w:noProof/>
                <w:webHidden/>
              </w:rPr>
              <w:fldChar w:fldCharType="begin"/>
            </w:r>
            <w:r>
              <w:rPr>
                <w:noProof/>
                <w:webHidden/>
              </w:rPr>
              <w:instrText xml:space="preserve"> PAGEREF _Toc21443854 \h </w:instrText>
            </w:r>
            <w:r>
              <w:rPr>
                <w:noProof/>
                <w:webHidden/>
              </w:rPr>
            </w:r>
            <w:r>
              <w:rPr>
                <w:noProof/>
                <w:webHidden/>
              </w:rPr>
              <w:fldChar w:fldCharType="separate"/>
            </w:r>
            <w:r>
              <w:rPr>
                <w:noProof/>
                <w:webHidden/>
              </w:rPr>
              <w:t>6</w:t>
            </w:r>
            <w:r>
              <w:rPr>
                <w:noProof/>
                <w:webHidden/>
              </w:rPr>
              <w:fldChar w:fldCharType="end"/>
            </w:r>
          </w:hyperlink>
        </w:p>
        <w:p w14:paraId="2EEE11F3" w14:textId="36836DA3" w:rsidR="002C2ADB" w:rsidRDefault="002C2ADB">
          <w:pPr>
            <w:pStyle w:val="TOC2"/>
            <w:tabs>
              <w:tab w:val="right" w:leader="dot" w:pos="9016"/>
            </w:tabs>
            <w:rPr>
              <w:rFonts w:eastAsiaTheme="minorEastAsia"/>
              <w:noProof/>
              <w:lang w:val="en-AU" w:eastAsia="en-AU"/>
            </w:rPr>
          </w:pPr>
          <w:hyperlink w:anchor="_Toc21443855" w:history="1">
            <w:r w:rsidRPr="007B792B">
              <w:rPr>
                <w:rStyle w:val="Hyperlink"/>
                <w:noProof/>
              </w:rPr>
              <w:t>International experience of benchmarking hip fracture care against national clinical standards</w:t>
            </w:r>
            <w:r>
              <w:rPr>
                <w:noProof/>
                <w:webHidden/>
              </w:rPr>
              <w:tab/>
            </w:r>
            <w:r>
              <w:rPr>
                <w:noProof/>
                <w:webHidden/>
              </w:rPr>
              <w:fldChar w:fldCharType="begin"/>
            </w:r>
            <w:r>
              <w:rPr>
                <w:noProof/>
                <w:webHidden/>
              </w:rPr>
              <w:instrText xml:space="preserve"> PAGEREF _Toc21443855 \h </w:instrText>
            </w:r>
            <w:r>
              <w:rPr>
                <w:noProof/>
                <w:webHidden/>
              </w:rPr>
            </w:r>
            <w:r>
              <w:rPr>
                <w:noProof/>
                <w:webHidden/>
              </w:rPr>
              <w:fldChar w:fldCharType="separate"/>
            </w:r>
            <w:r>
              <w:rPr>
                <w:noProof/>
                <w:webHidden/>
              </w:rPr>
              <w:t>7</w:t>
            </w:r>
            <w:r>
              <w:rPr>
                <w:noProof/>
                <w:webHidden/>
              </w:rPr>
              <w:fldChar w:fldCharType="end"/>
            </w:r>
          </w:hyperlink>
        </w:p>
        <w:p w14:paraId="7E336ECA" w14:textId="16D159EC" w:rsidR="002C2ADB" w:rsidRDefault="002C2ADB">
          <w:pPr>
            <w:pStyle w:val="TOC1"/>
            <w:tabs>
              <w:tab w:val="right" w:leader="dot" w:pos="9016"/>
            </w:tabs>
            <w:rPr>
              <w:rFonts w:eastAsiaTheme="minorEastAsia"/>
              <w:noProof/>
              <w:lang w:val="en-AU" w:eastAsia="en-AU"/>
            </w:rPr>
          </w:pPr>
          <w:hyperlink w:anchor="_Toc21443856" w:history="1">
            <w:r w:rsidRPr="007B792B">
              <w:rPr>
                <w:rStyle w:val="Hyperlink"/>
                <w:noProof/>
              </w:rPr>
              <w:t>A systematic approach to hip fracture care and prevention for Australia and New Zealand</w:t>
            </w:r>
            <w:r>
              <w:rPr>
                <w:noProof/>
                <w:webHidden/>
              </w:rPr>
              <w:tab/>
            </w:r>
            <w:r>
              <w:rPr>
                <w:noProof/>
                <w:webHidden/>
              </w:rPr>
              <w:fldChar w:fldCharType="begin"/>
            </w:r>
            <w:r>
              <w:rPr>
                <w:noProof/>
                <w:webHidden/>
              </w:rPr>
              <w:instrText xml:space="preserve"> PAGEREF _Toc21443856 \h </w:instrText>
            </w:r>
            <w:r>
              <w:rPr>
                <w:noProof/>
                <w:webHidden/>
              </w:rPr>
            </w:r>
            <w:r>
              <w:rPr>
                <w:noProof/>
                <w:webHidden/>
              </w:rPr>
              <w:fldChar w:fldCharType="separate"/>
            </w:r>
            <w:r>
              <w:rPr>
                <w:noProof/>
                <w:webHidden/>
              </w:rPr>
              <w:t>8</w:t>
            </w:r>
            <w:r>
              <w:rPr>
                <w:noProof/>
                <w:webHidden/>
              </w:rPr>
              <w:fldChar w:fldCharType="end"/>
            </w:r>
          </w:hyperlink>
        </w:p>
        <w:p w14:paraId="162E4195" w14:textId="58257F40" w:rsidR="002C2ADB" w:rsidRDefault="002C2ADB">
          <w:pPr>
            <w:pStyle w:val="TOC1"/>
            <w:tabs>
              <w:tab w:val="right" w:leader="dot" w:pos="9016"/>
            </w:tabs>
            <w:rPr>
              <w:rFonts w:eastAsiaTheme="minorEastAsia"/>
              <w:noProof/>
              <w:lang w:val="en-AU" w:eastAsia="en-AU"/>
            </w:rPr>
          </w:pPr>
          <w:hyperlink w:anchor="_Toc21443857" w:history="1">
            <w:r w:rsidRPr="007B792B">
              <w:rPr>
                <w:rStyle w:val="Hyperlink"/>
                <w:noProof/>
              </w:rPr>
              <w:t>Australian and New Zealand Hip Fracture Care Clinical Care Standard</w:t>
            </w:r>
            <w:r>
              <w:rPr>
                <w:noProof/>
                <w:webHidden/>
              </w:rPr>
              <w:tab/>
            </w:r>
            <w:r>
              <w:rPr>
                <w:noProof/>
                <w:webHidden/>
              </w:rPr>
              <w:fldChar w:fldCharType="begin"/>
            </w:r>
            <w:r>
              <w:rPr>
                <w:noProof/>
                <w:webHidden/>
              </w:rPr>
              <w:instrText xml:space="preserve"> PAGEREF _Toc21443857 \h </w:instrText>
            </w:r>
            <w:r>
              <w:rPr>
                <w:noProof/>
                <w:webHidden/>
              </w:rPr>
            </w:r>
            <w:r>
              <w:rPr>
                <w:noProof/>
                <w:webHidden/>
              </w:rPr>
              <w:fldChar w:fldCharType="separate"/>
            </w:r>
            <w:r>
              <w:rPr>
                <w:noProof/>
                <w:webHidden/>
              </w:rPr>
              <w:t>9</w:t>
            </w:r>
            <w:r>
              <w:rPr>
                <w:noProof/>
                <w:webHidden/>
              </w:rPr>
              <w:fldChar w:fldCharType="end"/>
            </w:r>
          </w:hyperlink>
        </w:p>
        <w:p w14:paraId="0796B0E6" w14:textId="27E7ABD8" w:rsidR="002C2ADB" w:rsidRDefault="002C2ADB">
          <w:pPr>
            <w:pStyle w:val="TOC1"/>
            <w:tabs>
              <w:tab w:val="right" w:leader="dot" w:pos="9016"/>
            </w:tabs>
            <w:rPr>
              <w:rFonts w:eastAsiaTheme="minorEastAsia"/>
              <w:noProof/>
              <w:lang w:val="en-AU" w:eastAsia="en-AU"/>
            </w:rPr>
          </w:pPr>
          <w:hyperlink w:anchor="_Toc21443858" w:history="1">
            <w:r w:rsidRPr="007B792B">
              <w:rPr>
                <w:rStyle w:val="Hyperlink"/>
                <w:noProof/>
              </w:rPr>
              <w:t>Preparedness to participate in the ANZHFR at [Insert name of hospital]</w:t>
            </w:r>
            <w:r>
              <w:rPr>
                <w:noProof/>
                <w:webHidden/>
              </w:rPr>
              <w:tab/>
            </w:r>
            <w:r>
              <w:rPr>
                <w:noProof/>
                <w:webHidden/>
              </w:rPr>
              <w:fldChar w:fldCharType="begin"/>
            </w:r>
            <w:r>
              <w:rPr>
                <w:noProof/>
                <w:webHidden/>
              </w:rPr>
              <w:instrText xml:space="preserve"> PAGEREF _Toc21443858 \h </w:instrText>
            </w:r>
            <w:r>
              <w:rPr>
                <w:noProof/>
                <w:webHidden/>
              </w:rPr>
            </w:r>
            <w:r>
              <w:rPr>
                <w:noProof/>
                <w:webHidden/>
              </w:rPr>
              <w:fldChar w:fldCharType="separate"/>
            </w:r>
            <w:r>
              <w:rPr>
                <w:noProof/>
                <w:webHidden/>
              </w:rPr>
              <w:t>10</w:t>
            </w:r>
            <w:r>
              <w:rPr>
                <w:noProof/>
                <w:webHidden/>
              </w:rPr>
              <w:fldChar w:fldCharType="end"/>
            </w:r>
          </w:hyperlink>
        </w:p>
        <w:p w14:paraId="3B0D0AC6" w14:textId="0B889808" w:rsidR="002C2ADB" w:rsidRDefault="002C2ADB">
          <w:pPr>
            <w:pStyle w:val="TOC1"/>
            <w:tabs>
              <w:tab w:val="right" w:leader="dot" w:pos="9016"/>
            </w:tabs>
            <w:rPr>
              <w:rFonts w:eastAsiaTheme="minorEastAsia"/>
              <w:noProof/>
              <w:lang w:val="en-AU" w:eastAsia="en-AU"/>
            </w:rPr>
          </w:pPr>
          <w:hyperlink w:anchor="_Toc21443859" w:history="1">
            <w:r w:rsidRPr="007B792B">
              <w:rPr>
                <w:rStyle w:val="Hyperlink"/>
                <w:noProof/>
              </w:rPr>
              <w:t>Orthogeriatric service provision at [Insert name of hospital]</w:t>
            </w:r>
            <w:r>
              <w:rPr>
                <w:noProof/>
                <w:webHidden/>
              </w:rPr>
              <w:tab/>
            </w:r>
            <w:r>
              <w:rPr>
                <w:noProof/>
                <w:webHidden/>
              </w:rPr>
              <w:fldChar w:fldCharType="begin"/>
            </w:r>
            <w:r>
              <w:rPr>
                <w:noProof/>
                <w:webHidden/>
              </w:rPr>
              <w:instrText xml:space="preserve"> PAGEREF _Toc21443859 \h </w:instrText>
            </w:r>
            <w:r>
              <w:rPr>
                <w:noProof/>
                <w:webHidden/>
              </w:rPr>
            </w:r>
            <w:r>
              <w:rPr>
                <w:noProof/>
                <w:webHidden/>
              </w:rPr>
              <w:fldChar w:fldCharType="separate"/>
            </w:r>
            <w:r>
              <w:rPr>
                <w:noProof/>
                <w:webHidden/>
              </w:rPr>
              <w:t>13</w:t>
            </w:r>
            <w:r>
              <w:rPr>
                <w:noProof/>
                <w:webHidden/>
              </w:rPr>
              <w:fldChar w:fldCharType="end"/>
            </w:r>
          </w:hyperlink>
        </w:p>
        <w:p w14:paraId="7E630FA3" w14:textId="6197AF98" w:rsidR="002C2ADB" w:rsidRDefault="002C2ADB">
          <w:pPr>
            <w:pStyle w:val="TOC1"/>
            <w:tabs>
              <w:tab w:val="right" w:leader="dot" w:pos="9016"/>
            </w:tabs>
            <w:rPr>
              <w:rFonts w:eastAsiaTheme="minorEastAsia"/>
              <w:noProof/>
              <w:lang w:val="en-AU" w:eastAsia="en-AU"/>
            </w:rPr>
          </w:pPr>
          <w:hyperlink w:anchor="_Toc21443860" w:history="1">
            <w:r w:rsidRPr="007B792B">
              <w:rPr>
                <w:rStyle w:val="Hyperlink"/>
                <w:noProof/>
              </w:rPr>
              <w:t>Other useful resources</w:t>
            </w:r>
            <w:r>
              <w:rPr>
                <w:noProof/>
                <w:webHidden/>
              </w:rPr>
              <w:tab/>
            </w:r>
            <w:r>
              <w:rPr>
                <w:noProof/>
                <w:webHidden/>
              </w:rPr>
              <w:fldChar w:fldCharType="begin"/>
            </w:r>
            <w:r>
              <w:rPr>
                <w:noProof/>
                <w:webHidden/>
              </w:rPr>
              <w:instrText xml:space="preserve"> PAGEREF _Toc21443860 \h </w:instrText>
            </w:r>
            <w:r>
              <w:rPr>
                <w:noProof/>
                <w:webHidden/>
              </w:rPr>
            </w:r>
            <w:r>
              <w:rPr>
                <w:noProof/>
                <w:webHidden/>
              </w:rPr>
              <w:fldChar w:fldCharType="separate"/>
            </w:r>
            <w:r>
              <w:rPr>
                <w:noProof/>
                <w:webHidden/>
              </w:rPr>
              <w:t>16</w:t>
            </w:r>
            <w:r>
              <w:rPr>
                <w:noProof/>
                <w:webHidden/>
              </w:rPr>
              <w:fldChar w:fldCharType="end"/>
            </w:r>
          </w:hyperlink>
        </w:p>
        <w:p w14:paraId="395BEBE2" w14:textId="2244ECE9" w:rsidR="002C2ADB" w:rsidRDefault="002C2ADB">
          <w:pPr>
            <w:pStyle w:val="TOC1"/>
            <w:tabs>
              <w:tab w:val="right" w:leader="dot" w:pos="9016"/>
            </w:tabs>
            <w:rPr>
              <w:rFonts w:eastAsiaTheme="minorEastAsia"/>
              <w:noProof/>
              <w:lang w:val="en-AU" w:eastAsia="en-AU"/>
            </w:rPr>
          </w:pPr>
          <w:hyperlink w:anchor="_Toc21443861" w:history="1">
            <w:r w:rsidRPr="007B792B">
              <w:rPr>
                <w:rStyle w:val="Hyperlink"/>
                <w:noProof/>
              </w:rPr>
              <w:t>Summary and recommendation</w:t>
            </w:r>
            <w:r>
              <w:rPr>
                <w:noProof/>
                <w:webHidden/>
              </w:rPr>
              <w:tab/>
            </w:r>
            <w:r>
              <w:rPr>
                <w:noProof/>
                <w:webHidden/>
              </w:rPr>
              <w:fldChar w:fldCharType="begin"/>
            </w:r>
            <w:r>
              <w:rPr>
                <w:noProof/>
                <w:webHidden/>
              </w:rPr>
              <w:instrText xml:space="preserve"> PAGEREF _Toc21443861 \h </w:instrText>
            </w:r>
            <w:r>
              <w:rPr>
                <w:noProof/>
                <w:webHidden/>
              </w:rPr>
            </w:r>
            <w:r>
              <w:rPr>
                <w:noProof/>
                <w:webHidden/>
              </w:rPr>
              <w:fldChar w:fldCharType="separate"/>
            </w:r>
            <w:r>
              <w:rPr>
                <w:noProof/>
                <w:webHidden/>
              </w:rPr>
              <w:t>17</w:t>
            </w:r>
            <w:r>
              <w:rPr>
                <w:noProof/>
                <w:webHidden/>
              </w:rPr>
              <w:fldChar w:fldCharType="end"/>
            </w:r>
          </w:hyperlink>
        </w:p>
        <w:p w14:paraId="167506C2" w14:textId="0FD7985B" w:rsidR="002C2ADB" w:rsidRDefault="002C2ADB">
          <w:pPr>
            <w:pStyle w:val="TOC1"/>
            <w:tabs>
              <w:tab w:val="right" w:leader="dot" w:pos="9016"/>
            </w:tabs>
            <w:rPr>
              <w:rFonts w:eastAsiaTheme="minorEastAsia"/>
              <w:noProof/>
              <w:lang w:val="en-AU" w:eastAsia="en-AU"/>
            </w:rPr>
          </w:pPr>
          <w:hyperlink w:anchor="_Toc21443862" w:history="1">
            <w:r w:rsidRPr="007B792B">
              <w:rPr>
                <w:rStyle w:val="Hyperlink"/>
                <w:noProof/>
              </w:rPr>
              <w:t>Appendix 1: Examples in Australia and New Zealand</w:t>
            </w:r>
            <w:r>
              <w:rPr>
                <w:noProof/>
                <w:webHidden/>
              </w:rPr>
              <w:tab/>
            </w:r>
            <w:r>
              <w:rPr>
                <w:noProof/>
                <w:webHidden/>
              </w:rPr>
              <w:fldChar w:fldCharType="begin"/>
            </w:r>
            <w:r>
              <w:rPr>
                <w:noProof/>
                <w:webHidden/>
              </w:rPr>
              <w:instrText xml:space="preserve"> PAGEREF _Toc21443862 \h </w:instrText>
            </w:r>
            <w:r>
              <w:rPr>
                <w:noProof/>
                <w:webHidden/>
              </w:rPr>
            </w:r>
            <w:r>
              <w:rPr>
                <w:noProof/>
                <w:webHidden/>
              </w:rPr>
              <w:fldChar w:fldCharType="separate"/>
            </w:r>
            <w:r>
              <w:rPr>
                <w:noProof/>
                <w:webHidden/>
              </w:rPr>
              <w:t>18</w:t>
            </w:r>
            <w:r>
              <w:rPr>
                <w:noProof/>
                <w:webHidden/>
              </w:rPr>
              <w:fldChar w:fldCharType="end"/>
            </w:r>
          </w:hyperlink>
        </w:p>
        <w:p w14:paraId="22910929" w14:textId="28A2AFDF" w:rsidR="002C2ADB" w:rsidRDefault="002C2ADB">
          <w:pPr>
            <w:pStyle w:val="TOC2"/>
            <w:tabs>
              <w:tab w:val="right" w:leader="dot" w:pos="9016"/>
            </w:tabs>
            <w:rPr>
              <w:rFonts w:eastAsiaTheme="minorEastAsia"/>
              <w:noProof/>
              <w:lang w:val="en-AU" w:eastAsia="en-AU"/>
            </w:rPr>
          </w:pPr>
          <w:hyperlink w:anchor="_Toc21443863" w:history="1">
            <w:r w:rsidRPr="007B792B">
              <w:rPr>
                <w:rStyle w:val="Hyperlink"/>
                <w:noProof/>
              </w:rPr>
              <w:t>Toowoomba Hospital, Toowoomba, Queensland</w:t>
            </w:r>
            <w:r>
              <w:rPr>
                <w:noProof/>
                <w:webHidden/>
              </w:rPr>
              <w:tab/>
            </w:r>
            <w:r>
              <w:rPr>
                <w:noProof/>
                <w:webHidden/>
              </w:rPr>
              <w:fldChar w:fldCharType="begin"/>
            </w:r>
            <w:r>
              <w:rPr>
                <w:noProof/>
                <w:webHidden/>
              </w:rPr>
              <w:instrText xml:space="preserve"> PAGEREF _Toc21443863 \h </w:instrText>
            </w:r>
            <w:r>
              <w:rPr>
                <w:noProof/>
                <w:webHidden/>
              </w:rPr>
            </w:r>
            <w:r>
              <w:rPr>
                <w:noProof/>
                <w:webHidden/>
              </w:rPr>
              <w:fldChar w:fldCharType="separate"/>
            </w:r>
            <w:r>
              <w:rPr>
                <w:noProof/>
                <w:webHidden/>
              </w:rPr>
              <w:t>18</w:t>
            </w:r>
            <w:r>
              <w:rPr>
                <w:noProof/>
                <w:webHidden/>
              </w:rPr>
              <w:fldChar w:fldCharType="end"/>
            </w:r>
          </w:hyperlink>
        </w:p>
        <w:p w14:paraId="311924B7" w14:textId="05FCD2C1" w:rsidR="002C2ADB" w:rsidRDefault="002C2ADB">
          <w:pPr>
            <w:pStyle w:val="TOC2"/>
            <w:tabs>
              <w:tab w:val="right" w:leader="dot" w:pos="9016"/>
            </w:tabs>
            <w:rPr>
              <w:rFonts w:eastAsiaTheme="minorEastAsia"/>
              <w:noProof/>
              <w:lang w:val="en-AU" w:eastAsia="en-AU"/>
            </w:rPr>
          </w:pPr>
          <w:hyperlink w:anchor="_Toc21443864" w:history="1">
            <w:r w:rsidRPr="007B792B">
              <w:rPr>
                <w:rStyle w:val="Hyperlink"/>
                <w:noProof/>
              </w:rPr>
              <w:t>St Vincent’s Hospital, Darlinghurst, New South Wales</w:t>
            </w:r>
            <w:r>
              <w:rPr>
                <w:noProof/>
                <w:webHidden/>
              </w:rPr>
              <w:tab/>
            </w:r>
            <w:r>
              <w:rPr>
                <w:noProof/>
                <w:webHidden/>
              </w:rPr>
              <w:fldChar w:fldCharType="begin"/>
            </w:r>
            <w:r>
              <w:rPr>
                <w:noProof/>
                <w:webHidden/>
              </w:rPr>
              <w:instrText xml:space="preserve"> PAGEREF _Toc21443864 \h </w:instrText>
            </w:r>
            <w:r>
              <w:rPr>
                <w:noProof/>
                <w:webHidden/>
              </w:rPr>
            </w:r>
            <w:r>
              <w:rPr>
                <w:noProof/>
                <w:webHidden/>
              </w:rPr>
              <w:fldChar w:fldCharType="separate"/>
            </w:r>
            <w:r>
              <w:rPr>
                <w:noProof/>
                <w:webHidden/>
              </w:rPr>
              <w:t>18</w:t>
            </w:r>
            <w:r>
              <w:rPr>
                <w:noProof/>
                <w:webHidden/>
              </w:rPr>
              <w:fldChar w:fldCharType="end"/>
            </w:r>
          </w:hyperlink>
        </w:p>
        <w:p w14:paraId="2CA24A83" w14:textId="0841939E" w:rsidR="002C2ADB" w:rsidRDefault="002C2ADB">
          <w:pPr>
            <w:pStyle w:val="TOC2"/>
            <w:tabs>
              <w:tab w:val="right" w:leader="dot" w:pos="9016"/>
            </w:tabs>
            <w:rPr>
              <w:rFonts w:eastAsiaTheme="minorEastAsia"/>
              <w:noProof/>
              <w:lang w:val="en-AU" w:eastAsia="en-AU"/>
            </w:rPr>
          </w:pPr>
          <w:hyperlink w:anchor="_Toc21443865" w:history="1">
            <w:r w:rsidRPr="007B792B">
              <w:rPr>
                <w:rStyle w:val="Hyperlink"/>
                <w:noProof/>
              </w:rPr>
              <w:t>Waitemata District Health Board (DHB), New Zealand</w:t>
            </w:r>
            <w:r>
              <w:rPr>
                <w:noProof/>
                <w:webHidden/>
              </w:rPr>
              <w:tab/>
            </w:r>
            <w:r>
              <w:rPr>
                <w:noProof/>
                <w:webHidden/>
              </w:rPr>
              <w:fldChar w:fldCharType="begin"/>
            </w:r>
            <w:r>
              <w:rPr>
                <w:noProof/>
                <w:webHidden/>
              </w:rPr>
              <w:instrText xml:space="preserve"> PAGEREF _Toc21443865 \h </w:instrText>
            </w:r>
            <w:r>
              <w:rPr>
                <w:noProof/>
                <w:webHidden/>
              </w:rPr>
            </w:r>
            <w:r>
              <w:rPr>
                <w:noProof/>
                <w:webHidden/>
              </w:rPr>
              <w:fldChar w:fldCharType="separate"/>
            </w:r>
            <w:r>
              <w:rPr>
                <w:noProof/>
                <w:webHidden/>
              </w:rPr>
              <w:t>19</w:t>
            </w:r>
            <w:r>
              <w:rPr>
                <w:noProof/>
                <w:webHidden/>
              </w:rPr>
              <w:fldChar w:fldCharType="end"/>
            </w:r>
          </w:hyperlink>
        </w:p>
        <w:p w14:paraId="691148BF" w14:textId="3D9143A4" w:rsidR="002C2ADB" w:rsidRDefault="002C2ADB">
          <w:pPr>
            <w:pStyle w:val="TOC2"/>
            <w:tabs>
              <w:tab w:val="right" w:leader="dot" w:pos="9016"/>
            </w:tabs>
            <w:rPr>
              <w:rFonts w:eastAsiaTheme="minorEastAsia"/>
              <w:noProof/>
              <w:lang w:val="en-AU" w:eastAsia="en-AU"/>
            </w:rPr>
          </w:pPr>
          <w:hyperlink w:anchor="_Toc21443866" w:history="1">
            <w:r w:rsidRPr="007B792B">
              <w:rPr>
                <w:rStyle w:val="Hyperlink"/>
                <w:noProof/>
              </w:rPr>
              <w:t>Waikato Hospital, New Zealand</w:t>
            </w:r>
            <w:r>
              <w:rPr>
                <w:noProof/>
                <w:webHidden/>
              </w:rPr>
              <w:tab/>
            </w:r>
            <w:r>
              <w:rPr>
                <w:noProof/>
                <w:webHidden/>
              </w:rPr>
              <w:fldChar w:fldCharType="begin"/>
            </w:r>
            <w:r>
              <w:rPr>
                <w:noProof/>
                <w:webHidden/>
              </w:rPr>
              <w:instrText xml:space="preserve"> PAGEREF _Toc21443866 \h </w:instrText>
            </w:r>
            <w:r>
              <w:rPr>
                <w:noProof/>
                <w:webHidden/>
              </w:rPr>
            </w:r>
            <w:r>
              <w:rPr>
                <w:noProof/>
                <w:webHidden/>
              </w:rPr>
              <w:fldChar w:fldCharType="separate"/>
            </w:r>
            <w:r>
              <w:rPr>
                <w:noProof/>
                <w:webHidden/>
              </w:rPr>
              <w:t>20</w:t>
            </w:r>
            <w:r>
              <w:rPr>
                <w:noProof/>
                <w:webHidden/>
              </w:rPr>
              <w:fldChar w:fldCharType="end"/>
            </w:r>
          </w:hyperlink>
        </w:p>
        <w:p w14:paraId="5720BA53" w14:textId="183985B5" w:rsidR="002C2ADB" w:rsidRDefault="002C2ADB">
          <w:pPr>
            <w:pStyle w:val="TOC1"/>
            <w:tabs>
              <w:tab w:val="right" w:leader="dot" w:pos="9016"/>
            </w:tabs>
            <w:rPr>
              <w:rFonts w:eastAsiaTheme="minorEastAsia"/>
              <w:noProof/>
              <w:lang w:val="en-AU" w:eastAsia="en-AU"/>
            </w:rPr>
          </w:pPr>
          <w:hyperlink w:anchor="_Toc21443867" w:history="1">
            <w:r w:rsidRPr="007B792B">
              <w:rPr>
                <w:rStyle w:val="Hyperlink"/>
                <w:noProof/>
              </w:rPr>
              <w:t>Appendix 2: ANZHFR Participation</w:t>
            </w:r>
            <w:r>
              <w:rPr>
                <w:noProof/>
                <w:webHidden/>
              </w:rPr>
              <w:tab/>
            </w:r>
            <w:r>
              <w:rPr>
                <w:noProof/>
                <w:webHidden/>
              </w:rPr>
              <w:fldChar w:fldCharType="begin"/>
            </w:r>
            <w:r>
              <w:rPr>
                <w:noProof/>
                <w:webHidden/>
              </w:rPr>
              <w:instrText xml:space="preserve"> PAGEREF _Toc21443867 \h </w:instrText>
            </w:r>
            <w:r>
              <w:rPr>
                <w:noProof/>
                <w:webHidden/>
              </w:rPr>
            </w:r>
            <w:r>
              <w:rPr>
                <w:noProof/>
                <w:webHidden/>
              </w:rPr>
              <w:fldChar w:fldCharType="separate"/>
            </w:r>
            <w:r>
              <w:rPr>
                <w:noProof/>
                <w:webHidden/>
              </w:rPr>
              <w:t>21</w:t>
            </w:r>
            <w:r>
              <w:rPr>
                <w:noProof/>
                <w:webHidden/>
              </w:rPr>
              <w:fldChar w:fldCharType="end"/>
            </w:r>
          </w:hyperlink>
        </w:p>
        <w:p w14:paraId="1D98F46C" w14:textId="2E39CCFB" w:rsidR="002C2ADB" w:rsidRDefault="002C2ADB">
          <w:pPr>
            <w:pStyle w:val="TOC1"/>
            <w:tabs>
              <w:tab w:val="right" w:leader="dot" w:pos="9016"/>
            </w:tabs>
            <w:rPr>
              <w:rFonts w:eastAsiaTheme="minorEastAsia"/>
              <w:noProof/>
              <w:lang w:val="en-AU" w:eastAsia="en-AU"/>
            </w:rPr>
          </w:pPr>
          <w:hyperlink w:anchor="_Toc21443868" w:history="1">
            <w:r w:rsidRPr="007B792B">
              <w:rPr>
                <w:rStyle w:val="Hyperlink"/>
                <w:noProof/>
              </w:rPr>
              <w:t>Appendix 3: ANZHFR - How to get started</w:t>
            </w:r>
            <w:r>
              <w:rPr>
                <w:noProof/>
                <w:webHidden/>
              </w:rPr>
              <w:tab/>
            </w:r>
            <w:r>
              <w:rPr>
                <w:noProof/>
                <w:webHidden/>
              </w:rPr>
              <w:fldChar w:fldCharType="begin"/>
            </w:r>
            <w:r>
              <w:rPr>
                <w:noProof/>
                <w:webHidden/>
              </w:rPr>
              <w:instrText xml:space="preserve"> PAGEREF _Toc21443868 \h </w:instrText>
            </w:r>
            <w:r>
              <w:rPr>
                <w:noProof/>
                <w:webHidden/>
              </w:rPr>
            </w:r>
            <w:r>
              <w:rPr>
                <w:noProof/>
                <w:webHidden/>
              </w:rPr>
              <w:fldChar w:fldCharType="separate"/>
            </w:r>
            <w:r>
              <w:rPr>
                <w:noProof/>
                <w:webHidden/>
              </w:rPr>
              <w:t>23</w:t>
            </w:r>
            <w:r>
              <w:rPr>
                <w:noProof/>
                <w:webHidden/>
              </w:rPr>
              <w:fldChar w:fldCharType="end"/>
            </w:r>
          </w:hyperlink>
        </w:p>
        <w:p w14:paraId="0FE586CA" w14:textId="7985A89D" w:rsidR="002C2ADB" w:rsidRDefault="002C2ADB">
          <w:pPr>
            <w:pStyle w:val="TOC1"/>
            <w:tabs>
              <w:tab w:val="right" w:leader="dot" w:pos="9016"/>
            </w:tabs>
            <w:rPr>
              <w:rFonts w:eastAsiaTheme="minorEastAsia"/>
              <w:noProof/>
              <w:lang w:val="en-AU" w:eastAsia="en-AU"/>
            </w:rPr>
          </w:pPr>
          <w:hyperlink w:anchor="_Toc21443869" w:history="1">
            <w:r w:rsidRPr="007B792B">
              <w:rPr>
                <w:rStyle w:val="Hyperlink"/>
                <w:noProof/>
              </w:rPr>
              <w:t>Appendix 4: Business change template</w:t>
            </w:r>
            <w:r>
              <w:rPr>
                <w:noProof/>
                <w:webHidden/>
              </w:rPr>
              <w:tab/>
            </w:r>
            <w:r>
              <w:rPr>
                <w:noProof/>
                <w:webHidden/>
              </w:rPr>
              <w:fldChar w:fldCharType="begin"/>
            </w:r>
            <w:r>
              <w:rPr>
                <w:noProof/>
                <w:webHidden/>
              </w:rPr>
              <w:instrText xml:space="preserve"> PAGEREF _Toc21443869 \h </w:instrText>
            </w:r>
            <w:r>
              <w:rPr>
                <w:noProof/>
                <w:webHidden/>
              </w:rPr>
            </w:r>
            <w:r>
              <w:rPr>
                <w:noProof/>
                <w:webHidden/>
              </w:rPr>
              <w:fldChar w:fldCharType="separate"/>
            </w:r>
            <w:r>
              <w:rPr>
                <w:noProof/>
                <w:webHidden/>
              </w:rPr>
              <w:t>25</w:t>
            </w:r>
            <w:r>
              <w:rPr>
                <w:noProof/>
                <w:webHidden/>
              </w:rPr>
              <w:fldChar w:fldCharType="end"/>
            </w:r>
          </w:hyperlink>
        </w:p>
        <w:p w14:paraId="7370A5A8" w14:textId="1FCC1B06" w:rsidR="002C2ADB" w:rsidRDefault="002C2ADB">
          <w:pPr>
            <w:pStyle w:val="TOC1"/>
            <w:tabs>
              <w:tab w:val="right" w:leader="dot" w:pos="9016"/>
            </w:tabs>
            <w:rPr>
              <w:rFonts w:eastAsiaTheme="minorEastAsia"/>
              <w:noProof/>
              <w:lang w:val="en-AU" w:eastAsia="en-AU"/>
            </w:rPr>
          </w:pPr>
          <w:hyperlink w:anchor="_Toc21443870" w:history="1">
            <w:r w:rsidRPr="007B792B">
              <w:rPr>
                <w:rStyle w:val="Hyperlink"/>
                <w:noProof/>
              </w:rPr>
              <w:t>References</w:t>
            </w:r>
            <w:r>
              <w:rPr>
                <w:noProof/>
                <w:webHidden/>
              </w:rPr>
              <w:tab/>
            </w:r>
            <w:r>
              <w:rPr>
                <w:noProof/>
                <w:webHidden/>
              </w:rPr>
              <w:fldChar w:fldCharType="begin"/>
            </w:r>
            <w:r>
              <w:rPr>
                <w:noProof/>
                <w:webHidden/>
              </w:rPr>
              <w:instrText xml:space="preserve"> PAGEREF _Toc21443870 \h </w:instrText>
            </w:r>
            <w:r>
              <w:rPr>
                <w:noProof/>
                <w:webHidden/>
              </w:rPr>
            </w:r>
            <w:r>
              <w:rPr>
                <w:noProof/>
                <w:webHidden/>
              </w:rPr>
              <w:fldChar w:fldCharType="separate"/>
            </w:r>
            <w:r>
              <w:rPr>
                <w:noProof/>
                <w:webHidden/>
              </w:rPr>
              <w:t>28</w:t>
            </w:r>
            <w:r>
              <w:rPr>
                <w:noProof/>
                <w:webHidden/>
              </w:rPr>
              <w:fldChar w:fldCharType="end"/>
            </w:r>
          </w:hyperlink>
        </w:p>
        <w:p w14:paraId="3F8E4AD0" w14:textId="4FD008D5" w:rsidR="0003357B" w:rsidRDefault="0003357B">
          <w:r>
            <w:rPr>
              <w:b/>
              <w:bCs/>
              <w:noProof/>
            </w:rPr>
            <w:fldChar w:fldCharType="end"/>
          </w:r>
        </w:p>
      </w:sdtContent>
    </w:sdt>
    <w:p w14:paraId="17CC7CE4" w14:textId="77777777" w:rsidR="00DB2B39" w:rsidRDefault="00DB2B39" w:rsidP="008A3F4F">
      <w:pPr>
        <w:jc w:val="both"/>
        <w:rPr>
          <w:b/>
          <w:sz w:val="24"/>
        </w:rPr>
      </w:pPr>
    </w:p>
    <w:p w14:paraId="1ADFF805" w14:textId="77777777" w:rsidR="00DB2B39" w:rsidRDefault="00DB2B39" w:rsidP="008A3F4F">
      <w:pPr>
        <w:jc w:val="both"/>
        <w:rPr>
          <w:b/>
          <w:sz w:val="24"/>
        </w:rPr>
      </w:pPr>
    </w:p>
    <w:p w14:paraId="1D3A8C58" w14:textId="77777777" w:rsidR="00DB2B39" w:rsidRDefault="00DB2B39" w:rsidP="008A3F4F">
      <w:pPr>
        <w:jc w:val="both"/>
        <w:rPr>
          <w:b/>
          <w:sz w:val="24"/>
        </w:rPr>
      </w:pPr>
    </w:p>
    <w:p w14:paraId="6A26CC1B" w14:textId="77777777" w:rsidR="00DB2B39" w:rsidRDefault="00DB2B39" w:rsidP="008A3F4F">
      <w:pPr>
        <w:jc w:val="both"/>
        <w:rPr>
          <w:b/>
          <w:sz w:val="24"/>
        </w:rPr>
      </w:pPr>
    </w:p>
    <w:p w14:paraId="6D71143A" w14:textId="77777777" w:rsidR="00DB2B39" w:rsidRDefault="00DB2B39" w:rsidP="008A3F4F">
      <w:pPr>
        <w:jc w:val="both"/>
        <w:rPr>
          <w:b/>
          <w:sz w:val="24"/>
        </w:rPr>
        <w:sectPr w:rsidR="00DB2B39" w:rsidSect="008D78EB">
          <w:footerReference w:type="default" r:id="rId9"/>
          <w:pgSz w:w="11906" w:h="16838"/>
          <w:pgMar w:top="1440" w:right="1440" w:bottom="1440" w:left="1440" w:header="708" w:footer="708" w:gutter="0"/>
          <w:pgNumType w:start="1"/>
          <w:cols w:space="708"/>
          <w:docGrid w:linePitch="360"/>
        </w:sectPr>
      </w:pPr>
    </w:p>
    <w:p w14:paraId="2621EEE8" w14:textId="3C0BA60F" w:rsidR="00F77227" w:rsidRPr="003D5957" w:rsidRDefault="00F77227" w:rsidP="00643314">
      <w:pPr>
        <w:pStyle w:val="Heading1"/>
        <w:spacing w:before="0"/>
      </w:pPr>
      <w:bookmarkStart w:id="0" w:name="_Toc21443851"/>
      <w:r w:rsidRPr="003D5957">
        <w:lastRenderedPageBreak/>
        <w:t>Executive Summary</w:t>
      </w:r>
      <w:bookmarkEnd w:id="0"/>
    </w:p>
    <w:p w14:paraId="7ED6FB3E" w14:textId="77777777" w:rsidR="00991A38" w:rsidRPr="00EC4AAD" w:rsidRDefault="00991A38" w:rsidP="008A3F4F">
      <w:pPr>
        <w:jc w:val="both"/>
        <w:rPr>
          <w:sz w:val="8"/>
          <w:szCs w:val="8"/>
        </w:rPr>
      </w:pPr>
    </w:p>
    <w:p w14:paraId="187165DF" w14:textId="10F1BD96" w:rsidR="00F77227" w:rsidRPr="00535E76" w:rsidRDefault="00032EDF" w:rsidP="00643314">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both"/>
        <w:rPr>
          <w:b/>
        </w:rPr>
      </w:pPr>
      <w:r>
        <w:rPr>
          <w:b/>
        </w:rPr>
        <w:t xml:space="preserve">The </w:t>
      </w:r>
      <w:r w:rsidR="00CE3261">
        <w:rPr>
          <w:b/>
        </w:rPr>
        <w:t>combination of</w:t>
      </w:r>
      <w:r w:rsidR="00F35B33" w:rsidRPr="00535E76">
        <w:rPr>
          <w:b/>
        </w:rPr>
        <w:t xml:space="preserve"> national clinical </w:t>
      </w:r>
      <w:r w:rsidR="00B3081D">
        <w:rPr>
          <w:b/>
        </w:rPr>
        <w:t xml:space="preserve">care </w:t>
      </w:r>
      <w:r w:rsidR="00F35B33" w:rsidRPr="00535E76">
        <w:rPr>
          <w:b/>
        </w:rPr>
        <w:t>standards</w:t>
      </w:r>
      <w:r>
        <w:rPr>
          <w:b/>
        </w:rPr>
        <w:t>, participation in a national hip fracture registry</w:t>
      </w:r>
      <w:r w:rsidR="00F35B33" w:rsidRPr="00535E76">
        <w:rPr>
          <w:b/>
        </w:rPr>
        <w:t>, feedback and shar</w:t>
      </w:r>
      <w:r w:rsidR="00535E76" w:rsidRPr="00535E76">
        <w:rPr>
          <w:b/>
        </w:rPr>
        <w:t>i</w:t>
      </w:r>
      <w:r w:rsidR="00387391">
        <w:rPr>
          <w:b/>
        </w:rPr>
        <w:t xml:space="preserve">ng </w:t>
      </w:r>
      <w:r>
        <w:rPr>
          <w:b/>
        </w:rPr>
        <w:t>of best practice has</w:t>
      </w:r>
      <w:r w:rsidR="0050469D">
        <w:rPr>
          <w:b/>
        </w:rPr>
        <w:t xml:space="preserve"> result</w:t>
      </w:r>
      <w:r w:rsidR="00EC4AAD">
        <w:rPr>
          <w:b/>
        </w:rPr>
        <w:t>ed</w:t>
      </w:r>
      <w:r w:rsidR="0050469D">
        <w:rPr>
          <w:b/>
        </w:rPr>
        <w:t xml:space="preserve"> in</w:t>
      </w:r>
      <w:r w:rsidR="00535E76" w:rsidRPr="00535E76">
        <w:rPr>
          <w:b/>
        </w:rPr>
        <w:t xml:space="preserve"> significant improvements in </w:t>
      </w:r>
      <w:r w:rsidR="00B3081D">
        <w:rPr>
          <w:b/>
        </w:rPr>
        <w:t xml:space="preserve">the </w:t>
      </w:r>
      <w:r w:rsidR="00535E76" w:rsidRPr="00535E76">
        <w:rPr>
          <w:b/>
        </w:rPr>
        <w:t>care of hip fracture patients and a significant reduction in 30-day mortality</w:t>
      </w:r>
      <w:r w:rsidR="00CE3261">
        <w:rPr>
          <w:b/>
        </w:rPr>
        <w:t xml:space="preserve"> in other countries.</w:t>
      </w:r>
    </w:p>
    <w:p w14:paraId="515DE8AA" w14:textId="77777777" w:rsidR="00991A38" w:rsidRPr="00EC4AAD" w:rsidRDefault="00991A38" w:rsidP="008A3F4F">
      <w:pPr>
        <w:ind w:left="360"/>
        <w:jc w:val="both"/>
        <w:rPr>
          <w:sz w:val="8"/>
          <w:szCs w:val="8"/>
        </w:rPr>
      </w:pPr>
    </w:p>
    <w:p w14:paraId="23ECB7EC" w14:textId="232D47F5" w:rsidR="00FB31FB" w:rsidRDefault="0034444B" w:rsidP="00643314">
      <w:pPr>
        <w:pStyle w:val="ListParagraph"/>
        <w:numPr>
          <w:ilvl w:val="0"/>
          <w:numId w:val="17"/>
        </w:numPr>
        <w:spacing w:after="0"/>
        <w:jc w:val="both"/>
      </w:pPr>
      <w:r w:rsidRPr="00D24A86">
        <w:rPr>
          <w:b/>
          <w:color w:val="FF0000"/>
        </w:rPr>
        <w:t>XXX</w:t>
      </w:r>
      <w:r>
        <w:t xml:space="preserve"> people served by [</w:t>
      </w:r>
      <w:r w:rsidR="00FA1081">
        <w:rPr>
          <w:b/>
          <w:color w:val="FF0000"/>
        </w:rPr>
        <w:t>Insert Local Health District</w:t>
      </w:r>
      <w:r>
        <w:t>] present with a hip fracture to [</w:t>
      </w:r>
      <w:r w:rsidRPr="00D24A86">
        <w:rPr>
          <w:b/>
          <w:color w:val="FF0000"/>
        </w:rPr>
        <w:t>Insert name of hospital</w:t>
      </w:r>
      <w:r>
        <w:t xml:space="preserve">] resulting in </w:t>
      </w:r>
      <w:r w:rsidRPr="00D24A86">
        <w:rPr>
          <w:b/>
          <w:color w:val="FF0000"/>
        </w:rPr>
        <w:t>Y,YYY</w:t>
      </w:r>
      <w:r w:rsidRPr="00B3081D">
        <w:rPr>
          <w:color w:val="FF0000"/>
        </w:rPr>
        <w:t xml:space="preserve"> </w:t>
      </w:r>
      <w:r>
        <w:t>bed da</w:t>
      </w:r>
      <w:r w:rsidR="00FA1081">
        <w:t>ys and a total annual cost of AUD</w:t>
      </w:r>
      <w:r>
        <w:t>$</w:t>
      </w:r>
      <w:r w:rsidRPr="00D24A86">
        <w:rPr>
          <w:b/>
          <w:color w:val="FF0000"/>
        </w:rPr>
        <w:t>ZZZ,ZZZ</w:t>
      </w:r>
      <w:r>
        <w:t>.</w:t>
      </w:r>
    </w:p>
    <w:p w14:paraId="1B2E5900" w14:textId="77777777" w:rsidR="00FB31FB" w:rsidRDefault="00FB31FB" w:rsidP="00643314">
      <w:pPr>
        <w:pStyle w:val="ListParagraph"/>
        <w:spacing w:after="0"/>
        <w:jc w:val="both"/>
      </w:pPr>
    </w:p>
    <w:p w14:paraId="33F462AD" w14:textId="56ED2CBC" w:rsidR="00FB31FB" w:rsidRDefault="00B3081D" w:rsidP="00643314">
      <w:pPr>
        <w:pStyle w:val="ListParagraph"/>
        <w:numPr>
          <w:ilvl w:val="0"/>
          <w:numId w:val="17"/>
        </w:numPr>
        <w:spacing w:after="0"/>
        <w:jc w:val="both"/>
      </w:pPr>
      <w:r>
        <w:t>Hip fractures impose a tremendous burden on people who suffer them, resulting in many not being able to walk unaided or requiring assistance with routine activities of daily living.</w:t>
      </w:r>
    </w:p>
    <w:p w14:paraId="7E01542C" w14:textId="77777777" w:rsidR="00FB31FB" w:rsidRDefault="00FB31FB" w:rsidP="00643314">
      <w:pPr>
        <w:pStyle w:val="ListParagraph"/>
        <w:spacing w:after="0"/>
      </w:pPr>
    </w:p>
    <w:p w14:paraId="5FC2A85D" w14:textId="77777777" w:rsidR="00B3081D" w:rsidRDefault="00B3081D" w:rsidP="00643314">
      <w:pPr>
        <w:pStyle w:val="ListParagraph"/>
        <w:numPr>
          <w:ilvl w:val="0"/>
          <w:numId w:val="17"/>
        </w:numPr>
        <w:spacing w:after="0"/>
        <w:jc w:val="both"/>
      </w:pPr>
      <w:r>
        <w:t>Hip fractures are a leading cause of institutionalisation and are associated with considerable excess mortality: up to one quarter of people who break their hip will die within 12 months.</w:t>
      </w:r>
    </w:p>
    <w:p w14:paraId="49C1EF38" w14:textId="77777777" w:rsidR="00B3081D" w:rsidRDefault="00B3081D" w:rsidP="00643314">
      <w:pPr>
        <w:pStyle w:val="ListParagraph"/>
        <w:spacing w:after="0"/>
        <w:jc w:val="both"/>
      </w:pPr>
    </w:p>
    <w:p w14:paraId="300325B7" w14:textId="77777777" w:rsidR="00B3081D" w:rsidRDefault="00B3081D" w:rsidP="00643314">
      <w:pPr>
        <w:pStyle w:val="ListParagraph"/>
        <w:numPr>
          <w:ilvl w:val="0"/>
          <w:numId w:val="17"/>
        </w:numPr>
        <w:spacing w:after="0"/>
        <w:jc w:val="both"/>
      </w:pPr>
      <w:r>
        <w:t>People who suffer hip fractures are at considerably elevated risk of suffering further falls and fractures in the future.</w:t>
      </w:r>
    </w:p>
    <w:p w14:paraId="03CAA651" w14:textId="77777777" w:rsidR="00B3081D" w:rsidRDefault="00B3081D" w:rsidP="00643314">
      <w:pPr>
        <w:pStyle w:val="ListParagraph"/>
        <w:spacing w:after="0"/>
        <w:jc w:val="both"/>
      </w:pPr>
    </w:p>
    <w:p w14:paraId="105B13D2" w14:textId="77777777" w:rsidR="00991A38" w:rsidRDefault="005D1F6C" w:rsidP="00643314">
      <w:pPr>
        <w:pStyle w:val="ListParagraph"/>
        <w:numPr>
          <w:ilvl w:val="0"/>
          <w:numId w:val="17"/>
        </w:numPr>
        <w:spacing w:after="0"/>
        <w:jc w:val="both"/>
      </w:pPr>
      <w:r>
        <w:t>Clinical G</w:t>
      </w:r>
      <w:r w:rsidR="00B3081D">
        <w:t xml:space="preserve">uidelines and Clinical Care Standards have been published in many countries as a response to the increasing burden of hip fracture among our </w:t>
      </w:r>
      <w:r>
        <w:t>globally ageing population.</w:t>
      </w:r>
    </w:p>
    <w:p w14:paraId="11142114" w14:textId="77777777" w:rsidR="00B3081D" w:rsidRDefault="00B3081D" w:rsidP="00643314">
      <w:pPr>
        <w:pStyle w:val="ListParagraph"/>
        <w:spacing w:after="0"/>
        <w:jc w:val="both"/>
      </w:pPr>
    </w:p>
    <w:p w14:paraId="4C45C22C" w14:textId="77777777" w:rsidR="00991A38" w:rsidRDefault="00991A38" w:rsidP="00643314">
      <w:pPr>
        <w:pStyle w:val="ListParagraph"/>
        <w:numPr>
          <w:ilvl w:val="0"/>
          <w:numId w:val="17"/>
        </w:numPr>
        <w:spacing w:after="0"/>
        <w:jc w:val="both"/>
      </w:pPr>
      <w:r>
        <w:t>The Australian and New Zealand Hip Fracture Registry initiative has developed widely endorsed Clinical Guidelines for Australia and New Zealand.</w:t>
      </w:r>
    </w:p>
    <w:p w14:paraId="2B36FDE2" w14:textId="77777777" w:rsidR="00991A38" w:rsidRDefault="00991A38" w:rsidP="00643314">
      <w:pPr>
        <w:pStyle w:val="ListParagraph"/>
        <w:spacing w:after="0"/>
        <w:jc w:val="both"/>
      </w:pPr>
    </w:p>
    <w:p w14:paraId="77B69027" w14:textId="77777777" w:rsidR="00991A38" w:rsidRDefault="00991A38" w:rsidP="00643314">
      <w:pPr>
        <w:pStyle w:val="ListParagraph"/>
        <w:numPr>
          <w:ilvl w:val="0"/>
          <w:numId w:val="17"/>
        </w:numPr>
        <w:spacing w:after="0"/>
        <w:jc w:val="both"/>
      </w:pPr>
      <w:r>
        <w:t>The Clinical Guidelines have enabled development of an Australian and New Zealand Hip Fracture Care Clinical Care Standard.</w:t>
      </w:r>
    </w:p>
    <w:p w14:paraId="31C52C31" w14:textId="77777777" w:rsidR="00991A38" w:rsidRDefault="00991A38" w:rsidP="00643314">
      <w:pPr>
        <w:pStyle w:val="ListParagraph"/>
        <w:spacing w:after="0"/>
        <w:jc w:val="both"/>
      </w:pPr>
    </w:p>
    <w:p w14:paraId="743D2FBC" w14:textId="77777777" w:rsidR="00991A38" w:rsidRDefault="00991A38" w:rsidP="00643314">
      <w:pPr>
        <w:pStyle w:val="ListParagraph"/>
        <w:numPr>
          <w:ilvl w:val="0"/>
          <w:numId w:val="17"/>
        </w:numPr>
        <w:spacing w:after="0"/>
        <w:jc w:val="both"/>
      </w:pPr>
      <w:r>
        <w:t xml:space="preserve">The Clinical Guidelines and Clinical Care Standard state that a patient with hip fracture </w:t>
      </w:r>
      <w:r w:rsidR="00D24A86">
        <w:t>should be offered treatment based on the</w:t>
      </w:r>
      <w:r>
        <w:t xml:space="preserve"> orthogeriatric model of care.</w:t>
      </w:r>
    </w:p>
    <w:p w14:paraId="6A5D3AA0" w14:textId="77777777" w:rsidR="00991A38" w:rsidRDefault="00991A38" w:rsidP="00643314">
      <w:pPr>
        <w:pStyle w:val="ListParagraph"/>
        <w:spacing w:after="0"/>
        <w:jc w:val="both"/>
      </w:pPr>
    </w:p>
    <w:p w14:paraId="159F0BBB" w14:textId="55054635" w:rsidR="00991A38" w:rsidRDefault="00991A38" w:rsidP="00643314">
      <w:pPr>
        <w:pStyle w:val="ListParagraph"/>
        <w:numPr>
          <w:ilvl w:val="0"/>
          <w:numId w:val="17"/>
        </w:numPr>
        <w:spacing w:after="0"/>
        <w:jc w:val="both"/>
      </w:pPr>
      <w:r>
        <w:t xml:space="preserve">The Australian and New Zealand Hip Fracture Registry provides </w:t>
      </w:r>
      <w:r w:rsidRPr="00991A38">
        <w:t>an opportunity</w:t>
      </w:r>
      <w:r>
        <w:t xml:space="preserve"> to benchmark the care that hospitals</w:t>
      </w:r>
      <w:r w:rsidRPr="00991A38">
        <w:t xml:space="preserve"> provide for hip fracture patients – in real time – against</w:t>
      </w:r>
      <w:r w:rsidR="00FA1081">
        <w:t xml:space="preserve"> the average performance in Australia</w:t>
      </w:r>
      <w:r>
        <w:t xml:space="preserve"> and against the </w:t>
      </w:r>
      <w:r w:rsidRPr="00991A38">
        <w:t>Clinical Care Standard</w:t>
      </w:r>
      <w:r>
        <w:t>.</w:t>
      </w:r>
    </w:p>
    <w:p w14:paraId="1191C53A" w14:textId="77777777" w:rsidR="00991A38" w:rsidRDefault="00991A38" w:rsidP="00643314">
      <w:pPr>
        <w:pStyle w:val="ListParagraph"/>
        <w:spacing w:after="0"/>
        <w:jc w:val="both"/>
      </w:pPr>
    </w:p>
    <w:p w14:paraId="2047EFB4" w14:textId="4B4546BF" w:rsidR="00F8677A" w:rsidRDefault="00991A38" w:rsidP="00643314">
      <w:pPr>
        <w:pStyle w:val="ListParagraph"/>
        <w:numPr>
          <w:ilvl w:val="0"/>
          <w:numId w:val="17"/>
        </w:numPr>
        <w:spacing w:after="0"/>
        <w:jc w:val="both"/>
      </w:pPr>
      <w:r>
        <w:t>The combination of</w:t>
      </w:r>
      <w:r w:rsidRPr="00991A38">
        <w:t xml:space="preserve"> national clinical care standards, data collection</w:t>
      </w:r>
      <w:r>
        <w:t xml:space="preserve"> through a national </w:t>
      </w:r>
      <w:r w:rsidR="00CE3261">
        <w:t xml:space="preserve">hip fracture </w:t>
      </w:r>
      <w:r>
        <w:t>registry</w:t>
      </w:r>
      <w:r w:rsidRPr="00991A38">
        <w:t>, feedback an</w:t>
      </w:r>
      <w:r>
        <w:t>d sharing of best practice has</w:t>
      </w:r>
      <w:r w:rsidRPr="00991A38">
        <w:t xml:space="preserve"> result</w:t>
      </w:r>
      <w:r w:rsidR="00A33C2F">
        <w:t>ed</w:t>
      </w:r>
      <w:r w:rsidRPr="00991A38">
        <w:t xml:space="preserve"> in significant improvements in the care of hip fracture patients and a significant reduction in 30-day mortality</w:t>
      </w:r>
      <w:r>
        <w:t xml:space="preserve"> in several countries</w:t>
      </w:r>
      <w:r w:rsidR="00EC4AAD">
        <w:t>.</w:t>
      </w:r>
    </w:p>
    <w:p w14:paraId="794D5409" w14:textId="77777777" w:rsidR="00CE3261" w:rsidRDefault="00CE3261" w:rsidP="00643314">
      <w:pPr>
        <w:pStyle w:val="ListParagraph"/>
        <w:spacing w:after="0"/>
        <w:jc w:val="both"/>
      </w:pPr>
    </w:p>
    <w:p w14:paraId="02C3979F" w14:textId="00491C81" w:rsidR="00F8677A" w:rsidRDefault="00CE3261" w:rsidP="008A3F4F">
      <w:pPr>
        <w:pStyle w:val="ListParagraph"/>
        <w:numPr>
          <w:ilvl w:val="0"/>
          <w:numId w:val="17"/>
        </w:numPr>
        <w:spacing w:after="0"/>
        <w:jc w:val="both"/>
      </w:pPr>
      <w:r>
        <w:t>T</w:t>
      </w:r>
      <w:r w:rsidRPr="00CE3261">
        <w:t>he Australian and New Zealand Hip Fracture Registry</w:t>
      </w:r>
      <w:r w:rsidR="00EC4AAD">
        <w:t xml:space="preserve"> is a key component of a whole of system approach to falls and frac</w:t>
      </w:r>
      <w:r w:rsidR="00FA1081">
        <w:t>ture management in Australia</w:t>
      </w:r>
      <w:r w:rsidR="00EC4AAD">
        <w:t>.</w:t>
      </w:r>
    </w:p>
    <w:p w14:paraId="0FD72103" w14:textId="23F4B473" w:rsidR="00643314" w:rsidRPr="00643314" w:rsidRDefault="00643314" w:rsidP="00643314">
      <w:pPr>
        <w:spacing w:after="0"/>
        <w:jc w:val="both"/>
      </w:pPr>
    </w:p>
    <w:p w14:paraId="015D9238" w14:textId="0762C735" w:rsidR="00A40630" w:rsidRPr="00EC4AAD" w:rsidRDefault="00535E76" w:rsidP="00EE0F42">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b/>
        </w:rPr>
      </w:pPr>
      <w:r w:rsidRPr="00535E76">
        <w:rPr>
          <w:b/>
        </w:rPr>
        <w:t>This business plan makes the case for</w:t>
      </w:r>
      <w:r w:rsidR="00EC4AAD">
        <w:rPr>
          <w:b/>
        </w:rPr>
        <w:t xml:space="preserve"> </w:t>
      </w:r>
      <w:r w:rsidR="00EC4AAD" w:rsidRPr="00535E76">
        <w:rPr>
          <w:b/>
        </w:rPr>
        <w:t xml:space="preserve">participation in the Australian and New Zealand Hip Fracture Registry to enable </w:t>
      </w:r>
      <w:r w:rsidR="00EC4AAD">
        <w:rPr>
          <w:b/>
        </w:rPr>
        <w:t xml:space="preserve">delivery of, </w:t>
      </w:r>
      <w:r w:rsidR="00EC4AAD" w:rsidRPr="00535E76">
        <w:rPr>
          <w:b/>
        </w:rPr>
        <w:t>and benchmark performance against the trans-Tasman Hip Fract</w:t>
      </w:r>
      <w:r w:rsidR="00EC4AAD">
        <w:rPr>
          <w:b/>
        </w:rPr>
        <w:t xml:space="preserve">ure Care Clinical Care Standard at </w:t>
      </w:r>
      <w:r w:rsidR="00991A38">
        <w:rPr>
          <w:b/>
        </w:rPr>
        <w:t>[</w:t>
      </w:r>
      <w:r w:rsidR="00991A38" w:rsidRPr="00991A38">
        <w:rPr>
          <w:b/>
          <w:color w:val="FF0000"/>
        </w:rPr>
        <w:t>Insert name of hospital</w:t>
      </w:r>
      <w:r w:rsidR="00991A38">
        <w:rPr>
          <w:b/>
        </w:rPr>
        <w:t xml:space="preserve">] </w:t>
      </w:r>
      <w:r w:rsidR="00EC4AAD">
        <w:rPr>
          <w:b/>
        </w:rPr>
        <w:t xml:space="preserve">by </w:t>
      </w:r>
      <w:r w:rsidR="00EC4AAD" w:rsidRPr="00473472">
        <w:rPr>
          <w:b/>
          <w:color w:val="FF0000"/>
        </w:rPr>
        <w:t>implementation/development</w:t>
      </w:r>
      <w:r w:rsidR="00EC4AAD" w:rsidRPr="00535E76">
        <w:rPr>
          <w:b/>
        </w:rPr>
        <w:t xml:space="preserve"> of </w:t>
      </w:r>
      <w:r w:rsidR="00EC4AAD" w:rsidRPr="00473472">
        <w:rPr>
          <w:b/>
          <w:color w:val="FF0000"/>
        </w:rPr>
        <w:t>an</w:t>
      </w:r>
      <w:r w:rsidR="00473472" w:rsidRPr="00473472">
        <w:rPr>
          <w:b/>
          <w:color w:val="FF0000"/>
        </w:rPr>
        <w:t>/the</w:t>
      </w:r>
      <w:r w:rsidR="00EC4AAD" w:rsidRPr="00535E76">
        <w:rPr>
          <w:b/>
        </w:rPr>
        <w:t xml:space="preserve"> Orthogeriatrics Service</w:t>
      </w:r>
      <w:r w:rsidR="00EC4AAD">
        <w:rPr>
          <w:b/>
        </w:rPr>
        <w:t>.</w:t>
      </w:r>
    </w:p>
    <w:p w14:paraId="7DBF2D35" w14:textId="3532BB75" w:rsidR="00DC0C5C" w:rsidRPr="00473472" w:rsidRDefault="00DC0C5C" w:rsidP="00EB6BA0">
      <w:pPr>
        <w:spacing w:after="0"/>
        <w:jc w:val="both"/>
        <w:rPr>
          <w:color w:val="FF0000"/>
          <w:sz w:val="20"/>
        </w:rPr>
      </w:pPr>
      <w:r w:rsidRPr="00473472">
        <w:rPr>
          <w:color w:val="FF0000"/>
          <w:sz w:val="20"/>
        </w:rPr>
        <w:t>The following three sections could provide the introductory section of the business plan and provide the background and rationale for</w:t>
      </w:r>
      <w:r w:rsidR="000D1B64" w:rsidRPr="00473472">
        <w:rPr>
          <w:color w:val="FF0000"/>
          <w:sz w:val="20"/>
        </w:rPr>
        <w:t xml:space="preserve"> participation in the Australian and New Zealand Hip Fracture Registry and</w:t>
      </w:r>
      <w:r w:rsidRPr="00473472">
        <w:rPr>
          <w:color w:val="FF0000"/>
          <w:sz w:val="20"/>
        </w:rPr>
        <w:t xml:space="preserve"> implementation</w:t>
      </w:r>
      <w:r w:rsidR="004E00D7" w:rsidRPr="00473472">
        <w:rPr>
          <w:color w:val="FF0000"/>
          <w:sz w:val="20"/>
        </w:rPr>
        <w:t>/development</w:t>
      </w:r>
      <w:r w:rsidRPr="00473472">
        <w:rPr>
          <w:color w:val="FF0000"/>
          <w:sz w:val="20"/>
        </w:rPr>
        <w:t xml:space="preserve"> of an Orthogeriatrics Service:</w:t>
      </w:r>
    </w:p>
    <w:p w14:paraId="2A36334E" w14:textId="5CC31959" w:rsidR="00DC0C5C" w:rsidRPr="00473472" w:rsidRDefault="00DC0C5C" w:rsidP="00014A9F">
      <w:pPr>
        <w:pStyle w:val="ListParagraph"/>
        <w:numPr>
          <w:ilvl w:val="0"/>
          <w:numId w:val="12"/>
        </w:numPr>
        <w:jc w:val="both"/>
        <w:rPr>
          <w:color w:val="FF0000"/>
          <w:sz w:val="20"/>
        </w:rPr>
      </w:pPr>
      <w:r w:rsidRPr="00473472">
        <w:rPr>
          <w:color w:val="FF0000"/>
          <w:sz w:val="20"/>
        </w:rPr>
        <w:t>The impac</w:t>
      </w:r>
      <w:r w:rsidR="00FA1081">
        <w:rPr>
          <w:color w:val="FF0000"/>
          <w:sz w:val="20"/>
        </w:rPr>
        <w:t>t of hip fracture in Australia</w:t>
      </w:r>
      <w:r w:rsidR="00FA1081">
        <w:rPr>
          <w:color w:val="FF0000"/>
          <w:sz w:val="20"/>
        </w:rPr>
        <w:tab/>
      </w:r>
    </w:p>
    <w:p w14:paraId="7C5B0FAC" w14:textId="77777777" w:rsidR="00DC0C5C" w:rsidRPr="00473472" w:rsidRDefault="00DC0C5C" w:rsidP="00014A9F">
      <w:pPr>
        <w:pStyle w:val="ListParagraph"/>
        <w:numPr>
          <w:ilvl w:val="0"/>
          <w:numId w:val="12"/>
        </w:numPr>
        <w:jc w:val="both"/>
        <w:rPr>
          <w:color w:val="FF0000"/>
          <w:sz w:val="20"/>
        </w:rPr>
      </w:pPr>
      <w:r w:rsidRPr="00473472">
        <w:rPr>
          <w:color w:val="FF0000"/>
          <w:sz w:val="20"/>
        </w:rPr>
        <w:t>Best practice in hip fracture care: International experience</w:t>
      </w:r>
    </w:p>
    <w:p w14:paraId="4C753F9B" w14:textId="26A7E437" w:rsidR="00A40630" w:rsidRPr="00473472" w:rsidRDefault="00DC0C5C" w:rsidP="00EB6BA0">
      <w:pPr>
        <w:pStyle w:val="ListParagraph"/>
        <w:numPr>
          <w:ilvl w:val="0"/>
          <w:numId w:val="12"/>
        </w:numPr>
        <w:spacing w:after="0"/>
        <w:ind w:left="714" w:hanging="357"/>
        <w:jc w:val="both"/>
        <w:rPr>
          <w:sz w:val="20"/>
        </w:rPr>
      </w:pPr>
      <w:r w:rsidRPr="00473472">
        <w:rPr>
          <w:color w:val="FF0000"/>
          <w:sz w:val="20"/>
        </w:rPr>
        <w:t>A systematic approach to hip fracture car</w:t>
      </w:r>
      <w:r w:rsidR="00FA1081">
        <w:rPr>
          <w:color w:val="FF0000"/>
          <w:sz w:val="20"/>
        </w:rPr>
        <w:t>e and prevention for Australia</w:t>
      </w:r>
    </w:p>
    <w:p w14:paraId="4198EA81" w14:textId="77777777" w:rsidR="00EB6BA0" w:rsidRDefault="00EB6BA0" w:rsidP="00EB6BA0">
      <w:pPr>
        <w:spacing w:after="0"/>
        <w:jc w:val="both"/>
        <w:rPr>
          <w:color w:val="FF0000"/>
          <w:sz w:val="20"/>
        </w:rPr>
      </w:pPr>
    </w:p>
    <w:p w14:paraId="60B4041B" w14:textId="7449784C" w:rsidR="000D1B64" w:rsidRPr="00473472" w:rsidRDefault="000D1B64">
      <w:pPr>
        <w:jc w:val="both"/>
        <w:rPr>
          <w:color w:val="FF0000"/>
          <w:sz w:val="20"/>
        </w:rPr>
      </w:pPr>
      <w:r w:rsidRPr="00473472">
        <w:rPr>
          <w:color w:val="FF0000"/>
          <w:sz w:val="20"/>
        </w:rPr>
        <w:t>Authors of the business plan may decide to precis this information, or add/replace with local data on the impact of hip fracture on quality of life, rates of institutionalisation, mortality, length of stay and health system costs.</w:t>
      </w:r>
      <w:r w:rsidR="003D1229" w:rsidRPr="00473472">
        <w:rPr>
          <w:color w:val="FF0000"/>
          <w:sz w:val="20"/>
        </w:rPr>
        <w:t xml:space="preserve"> This information could be obtained from Australasian Rehabilitation Outcomes Centre (AROC) data or the Enhanced Recovery After Surgery (ERAS) initiative.</w:t>
      </w:r>
    </w:p>
    <w:p w14:paraId="49FA25F7" w14:textId="77777777" w:rsidR="006043E3" w:rsidRDefault="006043E3">
      <w:pPr>
        <w:rPr>
          <w:rFonts w:asciiTheme="majorHAnsi" w:eastAsiaTheme="majorEastAsia" w:hAnsiTheme="majorHAnsi" w:cstheme="majorBidi"/>
          <w:color w:val="2E74B5" w:themeColor="accent1" w:themeShade="BF"/>
          <w:sz w:val="32"/>
          <w:szCs w:val="32"/>
        </w:rPr>
      </w:pPr>
      <w:r>
        <w:br w:type="page"/>
      </w:r>
    </w:p>
    <w:p w14:paraId="4915FC8B" w14:textId="3343C570" w:rsidR="00535E76" w:rsidRPr="003D5957" w:rsidRDefault="00535E76" w:rsidP="00CE2EF6">
      <w:pPr>
        <w:pStyle w:val="Heading1"/>
        <w:jc w:val="both"/>
      </w:pPr>
      <w:bookmarkStart w:id="1" w:name="_Toc21443852"/>
      <w:r w:rsidRPr="003D5957">
        <w:t xml:space="preserve">The impact of hip fracture in </w:t>
      </w:r>
      <w:r w:rsidR="00FA1081" w:rsidRPr="003D5957">
        <w:t>Australia</w:t>
      </w:r>
      <w:bookmarkEnd w:id="1"/>
    </w:p>
    <w:p w14:paraId="449BA132" w14:textId="49235772" w:rsidR="00DC5140" w:rsidRDefault="00C225F8" w:rsidP="00E17985">
      <w:pPr>
        <w:spacing w:after="0"/>
        <w:jc w:val="both"/>
      </w:pPr>
      <w:r>
        <w:t>In 2015-2016</w:t>
      </w:r>
      <w:r w:rsidR="003B0FF7" w:rsidRPr="003B0FF7">
        <w:t xml:space="preserve">, </w:t>
      </w:r>
      <w:r w:rsidR="003B0FF7" w:rsidRPr="00DC5140">
        <w:t xml:space="preserve">approximately </w:t>
      </w:r>
      <w:r w:rsidRPr="00DC5140">
        <w:t>18 700</w:t>
      </w:r>
      <w:r w:rsidR="003B0FF7" w:rsidRPr="00DC5140">
        <w:t xml:space="preserve"> Australians </w:t>
      </w:r>
      <w:r w:rsidR="00C26D63" w:rsidRPr="00DC5140">
        <w:t>were admitted</w:t>
      </w:r>
      <w:r w:rsidR="00C26D63" w:rsidRPr="00C26D63">
        <w:t xml:space="preserve"> </w:t>
      </w:r>
      <w:r w:rsidR="00C26D63">
        <w:t xml:space="preserve">to hospital </w:t>
      </w:r>
      <w:r w:rsidR="00C26D63" w:rsidRPr="00C26D63">
        <w:t>with a hip fracture</w:t>
      </w:r>
      <w:r w:rsidR="00C3214E">
        <w:rPr>
          <w:rStyle w:val="EndnoteReference"/>
        </w:rPr>
        <w:endnoteReference w:id="1"/>
      </w:r>
      <w:r w:rsidR="00C26D63">
        <w:t xml:space="preserve">. </w:t>
      </w:r>
      <w:r w:rsidR="0080774C">
        <w:t>The number of new hip fracture</w:t>
      </w:r>
      <w:r w:rsidR="00DC5140">
        <w:t>s</w:t>
      </w:r>
      <w:r w:rsidR="0080774C">
        <w:t xml:space="preserve"> rose over time, in line with the </w:t>
      </w:r>
      <w:r w:rsidR="00185FFF">
        <w:t>aging population, despite declining incidence rates after the implementation of preventative strategies</w:t>
      </w:r>
      <w:r w:rsidR="0080774C">
        <w:t>.</w:t>
      </w:r>
      <w:r w:rsidR="00DC5140">
        <w:t xml:space="preserve"> </w:t>
      </w:r>
    </w:p>
    <w:p w14:paraId="2F77C587" w14:textId="77777777" w:rsidR="00E17985" w:rsidRDefault="00E17985" w:rsidP="00E17985">
      <w:pPr>
        <w:spacing w:after="0"/>
        <w:jc w:val="both"/>
      </w:pPr>
    </w:p>
    <w:p w14:paraId="6B86352A" w14:textId="16289F66" w:rsidR="00C26D63" w:rsidRDefault="00C26D63" w:rsidP="00E17985">
      <w:pPr>
        <w:spacing w:after="0"/>
        <w:jc w:val="both"/>
      </w:pPr>
      <w:r w:rsidRPr="00C26D63">
        <w:t xml:space="preserve">The burden imposed </w:t>
      </w:r>
      <w:r w:rsidR="00DB2F95">
        <w:t xml:space="preserve">by these </w:t>
      </w:r>
      <w:r w:rsidR="0080774C">
        <w:t xml:space="preserve">hip </w:t>
      </w:r>
      <w:r w:rsidR="00DB2F95">
        <w:t>fractures on</w:t>
      </w:r>
      <w:r w:rsidR="0080774C">
        <w:t xml:space="preserve"> the individual includes decreased mobility and quality of life, increased likelihood of re-fracture, admission into residential aged care and death.</w:t>
      </w:r>
    </w:p>
    <w:p w14:paraId="16B26FD7" w14:textId="798ADF81" w:rsidR="00C26D63" w:rsidRDefault="00C26D63">
      <w:pPr>
        <w:pStyle w:val="ListParagraph"/>
        <w:numPr>
          <w:ilvl w:val="0"/>
          <w:numId w:val="1"/>
        </w:numPr>
        <w:jc w:val="both"/>
      </w:pPr>
      <w:r>
        <w:t>Fewer than half of people who survive a hip f</w:t>
      </w:r>
      <w:r w:rsidR="00DB2F95">
        <w:t>racture will walk unaided again</w:t>
      </w:r>
      <w:r w:rsidR="00C3214E">
        <w:rPr>
          <w:rStyle w:val="EndnoteReference"/>
        </w:rPr>
        <w:endnoteReference w:id="2"/>
      </w:r>
      <w:r>
        <w:t xml:space="preserve"> and in many cases they will never regain </w:t>
      </w:r>
      <w:r w:rsidR="00C3214E">
        <w:t>their former degree of mobility</w:t>
      </w:r>
      <w:r w:rsidR="00C3214E">
        <w:rPr>
          <w:rStyle w:val="EndnoteReference"/>
        </w:rPr>
        <w:endnoteReference w:id="3"/>
      </w:r>
      <w:r>
        <w:t>.</w:t>
      </w:r>
    </w:p>
    <w:p w14:paraId="56794E04" w14:textId="3378A529" w:rsidR="00C26D63" w:rsidRDefault="00C26D63">
      <w:pPr>
        <w:pStyle w:val="ListParagraph"/>
        <w:numPr>
          <w:ilvl w:val="0"/>
          <w:numId w:val="1"/>
        </w:numPr>
        <w:jc w:val="both"/>
      </w:pPr>
      <w:r>
        <w:t>A year after hip fracture, 60% of sufferers require assistance with activities such as feeding, dressing or toileting, and 80% need help with activit</w:t>
      </w:r>
      <w:r w:rsidR="00DB2F95">
        <w:t>ies such as shopping or driving</w:t>
      </w:r>
      <w:r w:rsidR="00C3214E">
        <w:rPr>
          <w:rStyle w:val="EndnoteReference"/>
        </w:rPr>
        <w:endnoteReference w:id="4"/>
      </w:r>
      <w:r>
        <w:t>.</w:t>
      </w:r>
    </w:p>
    <w:p w14:paraId="06B2D12A" w14:textId="324E08DC" w:rsidR="00C26D63" w:rsidRDefault="006D14A2">
      <w:pPr>
        <w:pStyle w:val="ListParagraph"/>
        <w:numPr>
          <w:ilvl w:val="0"/>
          <w:numId w:val="1"/>
        </w:numPr>
        <w:jc w:val="both"/>
      </w:pPr>
      <w:r w:rsidRPr="006D14A2">
        <w:t>60% of hip fracture sufferers report pain in the fractured hip and more than 30% report that</w:t>
      </w:r>
      <w:r>
        <w:t xml:space="preserve"> the pain disrupts their sleep</w:t>
      </w:r>
      <w:r w:rsidR="003D5786">
        <w:fldChar w:fldCharType="begin">
          <w:fldData xml:space="preserve">PEVuZE5vdGU+PENpdGU+PEF1dGhvcj5Pc25lczwvQXV0aG9yPjxZZWFyPjIwMDQ8L1llYXI+PFJl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IG9mIHRoZSBVU0E8L2FiYnItMT48L2FsdC1wZXJpb2RpY2FsPjxwYWdlcz41NjctNzQ8L3BhZ2Vz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</w:fldData>
        </w:fldChar>
      </w:r>
      <w:r w:rsidR="006719EA">
        <w:instrText xml:space="preserve"> ADDIN EN.CITE </w:instrText>
      </w:r>
      <w:r w:rsidR="003D5786">
        <w:fldChar w:fldCharType="begin">
          <w:fldData xml:space="preserve">PEVuZE5vdGU+PENpdGU+PEF1dGhvcj5Pc25lczwvQXV0aG9yPjxZZWFyPjIwMDQ8L1llYXI+PFJl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IG9mIHRoZSBVU0E8L2FiYnItMT48L2FsdC1wZXJpb2RpY2FsPjxwYWdlcz41NjctNzQ8L3BhZ2Vz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</w:fldData>
        </w:fldChar>
      </w:r>
      <w:r w:rsidR="006719EA">
        <w:instrText xml:space="preserve"> ADDIN EN.CITE.DATA </w:instrText>
      </w:r>
      <w:r w:rsidR="003D5786">
        <w:fldChar w:fldCharType="end"/>
      </w:r>
      <w:r w:rsidR="003D5786">
        <w:fldChar w:fldCharType="separate"/>
      </w:r>
      <w:r w:rsidR="006719EA" w:rsidRPr="006719EA">
        <w:rPr>
          <w:noProof/>
          <w:vertAlign w:val="superscript"/>
        </w:rPr>
        <w:t>2</w:t>
      </w:r>
      <w:r w:rsidR="003D5786">
        <w:fldChar w:fldCharType="end"/>
      </w:r>
      <w:r w:rsidR="00FE45DF">
        <w:t>.</w:t>
      </w:r>
    </w:p>
    <w:p w14:paraId="76B6BD48" w14:textId="667BD04F" w:rsidR="00D74268" w:rsidRDefault="00D74268" w:rsidP="00E17985">
      <w:pPr>
        <w:pStyle w:val="ListParagraph"/>
        <w:numPr>
          <w:ilvl w:val="0"/>
          <w:numId w:val="1"/>
        </w:numPr>
        <w:spacing w:after="0"/>
        <w:ind w:left="714" w:hanging="357"/>
        <w:jc w:val="both"/>
      </w:pPr>
      <w:r w:rsidRPr="00173159">
        <w:t>A 2017 study found that people aged 65 years and over who had suffered a hip fracture were more than 3.5 times more likely to die within 12 months compared to those who had not suffered a fracture</w:t>
      </w:r>
      <w:r w:rsidR="00E86B19">
        <w:rPr>
          <w:rStyle w:val="EndnoteReference"/>
        </w:rPr>
        <w:endnoteReference w:id="5"/>
      </w:r>
      <w:r w:rsidR="006822C4">
        <w:fldChar w:fldCharType="begin">
          <w:fldData xml:space="preserve">PEVuZE5vdGU+PENpdGU+PEF1dGhvcj5MeXN0YWQ8L0F1dGhvcj48WWVhcj4yMDE3PC9ZZWFyPjxS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</w:fldData>
        </w:fldChar>
      </w:r>
      <w:r w:rsidR="006822C4">
        <w:instrText xml:space="preserve"> ADDIN EN.CITE </w:instrText>
      </w:r>
      <w:r w:rsidR="006822C4">
        <w:fldChar w:fldCharType="begin">
          <w:fldData xml:space="preserve">PEVuZE5vdGU+PENpdGU+PEF1dGhvcj5MeXN0YWQ8L0F1dGhvcj48WWVhcj4yMDE3PC9ZZWFyPjxS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</w:fldData>
        </w:fldChar>
      </w:r>
      <w:r w:rsidR="006822C4">
        <w:instrText xml:space="preserve"> ADDIN EN.CITE.DATA </w:instrText>
      </w:r>
      <w:r w:rsidR="006822C4">
        <w:fldChar w:fldCharType="end"/>
      </w:r>
      <w:r w:rsidR="006822C4">
        <w:fldChar w:fldCharType="separate"/>
      </w:r>
      <w:r w:rsidR="00C3214E">
        <w:rPr>
          <w:noProof/>
        </w:rPr>
        <w:t xml:space="preserve">. </w:t>
      </w:r>
      <w:r w:rsidR="006822C4">
        <w:fldChar w:fldCharType="end"/>
      </w:r>
    </w:p>
    <w:p w14:paraId="36F35E6F" w14:textId="77777777" w:rsidR="00E17985" w:rsidRDefault="00E17985" w:rsidP="00E17985">
      <w:pPr>
        <w:pStyle w:val="ListParagraph"/>
        <w:spacing w:after="0"/>
        <w:ind w:left="714"/>
        <w:jc w:val="both"/>
      </w:pPr>
    </w:p>
    <w:p w14:paraId="150EE657" w14:textId="313653EB" w:rsidR="006D14A2" w:rsidRDefault="006D14A2" w:rsidP="00E17985">
      <w:pPr>
        <w:spacing w:after="0"/>
        <w:jc w:val="both"/>
      </w:pPr>
      <w:r>
        <w:t>Hip fracture has also been shown to be a leading cause of institutionalisation of older people</w:t>
      </w:r>
      <w:r w:rsidR="00FE45DF">
        <w:t xml:space="preserve"> in many countries</w:t>
      </w:r>
      <w:r w:rsidR="0052654D">
        <w:t>.</w:t>
      </w:r>
    </w:p>
    <w:p w14:paraId="77A76647" w14:textId="3FD0488E" w:rsidR="006D14A2" w:rsidRDefault="006D14A2" w:rsidP="00014A9F">
      <w:pPr>
        <w:pStyle w:val="ListParagraph"/>
        <w:numPr>
          <w:ilvl w:val="0"/>
          <w:numId w:val="6"/>
        </w:numPr>
        <w:jc w:val="both"/>
      </w:pPr>
      <w:r>
        <w:t>Among women suffering a hip fracture in Belgium, 19% were newly admitted to nursing homes during the year following hospitalisation compared to just 4% of age</w:t>
      </w:r>
      <w:r w:rsidR="00FE45DF">
        <w:t xml:space="preserve"> and residence matched controls</w:t>
      </w:r>
      <w:r w:rsidR="00E86B19">
        <w:rPr>
          <w:rStyle w:val="EndnoteReference"/>
        </w:rPr>
        <w:endnoteReference w:id="6"/>
      </w:r>
      <w:r>
        <w:t>.</w:t>
      </w:r>
    </w:p>
    <w:p w14:paraId="7D8FE152" w14:textId="4675606E" w:rsidR="00650A0B" w:rsidRDefault="006D14A2" w:rsidP="00014A9F">
      <w:pPr>
        <w:pStyle w:val="ListParagraph"/>
        <w:numPr>
          <w:ilvl w:val="0"/>
          <w:numId w:val="6"/>
        </w:numPr>
        <w:jc w:val="both"/>
      </w:pPr>
      <w:r>
        <w:t xml:space="preserve">Investigators from Norway reported that the proportion of individuals living in nursing homes increased from 15% to 30% after sustaining a </w:t>
      </w:r>
      <w:r w:rsidR="00FE45DF">
        <w:t>hip fracture</w:t>
      </w:r>
      <w:r w:rsidR="003D5786">
        <w:fldChar w:fldCharType="begin">
          <w:fldData xml:space="preserve">PEVuZE5vdGU+PENpdGU+PEF1dGhvcj5Pc25lczwvQXV0aG9yPjxZZWFyPjIwMDQ8L1llYXI+PFJl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IG9mIHRoZSBVU0E8L2FiYnItMT48L2FsdC1wZXJpb2RpY2FsPjxwYWdlcz41NjctNzQ8L3BhZ2Vz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</w:fldData>
        </w:fldChar>
      </w:r>
      <w:r w:rsidR="006719EA">
        <w:instrText xml:space="preserve"> ADDIN EN.CITE </w:instrText>
      </w:r>
      <w:r w:rsidR="003D5786">
        <w:fldChar w:fldCharType="begin">
          <w:fldData xml:space="preserve">PEVuZE5vdGU+PENpdGU+PEF1dGhvcj5Pc25lczwvQXV0aG9yPjxZZWFyPjIwMDQ8L1llYXI+PFJl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IG9mIHRoZSBVU0E8L2FiYnItMT48L2FsdC1wZXJpb2RpY2FsPjxwYWdlcz41NjctNzQ8L3BhZ2Vz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</w:fldData>
        </w:fldChar>
      </w:r>
      <w:r w:rsidR="006719EA">
        <w:instrText xml:space="preserve"> ADDIN EN.CITE.DATA </w:instrText>
      </w:r>
      <w:r w:rsidR="003D5786">
        <w:fldChar w:fldCharType="end"/>
      </w:r>
      <w:r w:rsidR="003D5786">
        <w:fldChar w:fldCharType="separate"/>
      </w:r>
      <w:r w:rsidR="006719EA" w:rsidRPr="006719EA">
        <w:rPr>
          <w:noProof/>
          <w:vertAlign w:val="superscript"/>
        </w:rPr>
        <w:t>2</w:t>
      </w:r>
      <w:r w:rsidR="003D5786">
        <w:fldChar w:fldCharType="end"/>
      </w:r>
      <w:r>
        <w:t>.</w:t>
      </w:r>
    </w:p>
    <w:p w14:paraId="47095B67" w14:textId="065AB195" w:rsidR="00D74268" w:rsidRDefault="00D74268" w:rsidP="00014A9F">
      <w:pPr>
        <w:pStyle w:val="ListParagraph"/>
        <w:numPr>
          <w:ilvl w:val="0"/>
          <w:numId w:val="6"/>
        </w:numPr>
        <w:jc w:val="both"/>
      </w:pPr>
      <w:r>
        <w:t>A study from the United States reported the proportion of men and women living in an institution before their hip fracture to be 6.8% and 13%, respectively</w:t>
      </w:r>
      <w:r w:rsidR="00E86B19">
        <w:rPr>
          <w:rStyle w:val="EndnoteReference"/>
        </w:rPr>
        <w:endnoteReference w:id="7"/>
      </w:r>
      <w:r>
        <w:t>. After hip fracture, 26.8% of men and 25.6% of women were newly admitted to institutions.</w:t>
      </w:r>
    </w:p>
    <w:p w14:paraId="2001434A" w14:textId="77777777" w:rsidR="00D74268" w:rsidRDefault="00D74268" w:rsidP="00E17985">
      <w:pPr>
        <w:pStyle w:val="ListParagraph"/>
        <w:spacing w:after="0"/>
        <w:jc w:val="both"/>
      </w:pPr>
    </w:p>
    <w:p w14:paraId="6AA1B48F" w14:textId="59BE6CBD" w:rsidR="006D14A2" w:rsidRDefault="00FE45DF" w:rsidP="00E17985">
      <w:pPr>
        <w:spacing w:after="0"/>
        <w:jc w:val="both"/>
      </w:pPr>
      <w:r>
        <w:t>In the UK</w:t>
      </w:r>
      <w:r w:rsidR="006D14A2" w:rsidRPr="006D14A2">
        <w:t>, hip fractures have been reported to be the most common cause of accident</w:t>
      </w:r>
      <w:r>
        <w:t>-related death in older people</w:t>
      </w:r>
      <w:r w:rsidR="00E86B19">
        <w:rPr>
          <w:rStyle w:val="EndnoteReference"/>
        </w:rPr>
        <w:endnoteReference w:id="8"/>
      </w:r>
      <w:r w:rsidR="006D14A2" w:rsidRPr="006D14A2">
        <w:t xml:space="preserve">. Thirty percent die within a year. </w:t>
      </w:r>
      <w:r w:rsidR="001C4C48">
        <w:t xml:space="preserve">The 2011 Australian Burden of Disease Study reported that hip fractures contributed to 3.4% of the fatal burden in </w:t>
      </w:r>
      <w:r w:rsidR="001C4C48" w:rsidRPr="001C4C48">
        <w:t>Australia</w:t>
      </w:r>
      <w:r w:rsidR="00E86B19">
        <w:rPr>
          <w:rStyle w:val="EndnoteReference"/>
        </w:rPr>
        <w:endnoteReference w:id="9"/>
      </w:r>
      <w:r w:rsidR="006D14A2" w:rsidRPr="001C4C48">
        <w:t>.</w:t>
      </w:r>
    </w:p>
    <w:p w14:paraId="3A1A8F4D" w14:textId="77777777" w:rsidR="00E17985" w:rsidRDefault="00E17985" w:rsidP="00E17985">
      <w:pPr>
        <w:spacing w:after="0"/>
        <w:jc w:val="both"/>
      </w:pPr>
    </w:p>
    <w:p w14:paraId="459CF4B1" w14:textId="060C6185" w:rsidR="005409F6" w:rsidRDefault="005409F6" w:rsidP="00E17985">
      <w:pPr>
        <w:spacing w:after="0"/>
        <w:jc w:val="both"/>
      </w:pPr>
      <w:r w:rsidRPr="00173159">
        <w:t>Hip fractures also place considerable fina</w:t>
      </w:r>
      <w:r w:rsidR="000A16FB">
        <w:t>ncial burden on the Australian h</w:t>
      </w:r>
      <w:r w:rsidRPr="00173159">
        <w:t>ealth care system</w:t>
      </w:r>
      <w:r w:rsidR="004E5528">
        <w:t xml:space="preserve">. </w:t>
      </w:r>
      <w:r w:rsidR="009F36B0" w:rsidRPr="00173159">
        <w:t>A 2014 study predicted that the number of hip fractures will rise by 35% by 2036</w:t>
      </w:r>
      <w:r w:rsidR="00016CBF">
        <w:rPr>
          <w:rStyle w:val="EndnoteReference"/>
        </w:rPr>
        <w:endnoteReference w:id="10"/>
      </w:r>
      <w:r w:rsidR="009F36B0" w:rsidRPr="00016CBF">
        <w:t xml:space="preserve">, </w:t>
      </w:r>
      <w:r w:rsidR="009F36B0" w:rsidRPr="00173159">
        <w:t>while another study reported that the total annual cost of hip fractures attributable to osteoporosis and osteopenia would rise by 36% between 2013 and 2022—from $829 million to $1.</w:t>
      </w:r>
      <w:r w:rsidR="009F36B0" w:rsidRPr="00016CBF">
        <w:t>27 billion</w:t>
      </w:r>
      <w:r w:rsidR="00016CBF">
        <w:rPr>
          <w:rStyle w:val="EndnoteReference"/>
        </w:rPr>
        <w:endnoteReference w:id="11"/>
      </w:r>
      <w:r w:rsidR="00016CBF" w:rsidRPr="00016CBF">
        <w:t xml:space="preserve">. </w:t>
      </w:r>
      <w:r w:rsidR="009F36B0" w:rsidRPr="00016CBF">
        <w:t>In</w:t>
      </w:r>
      <w:r w:rsidR="009F36B0" w:rsidRPr="00173159">
        <w:t xml:space="preserve"> addition to direct health system costs, hip fractures also have indirect costs associated with lost productivity and participation, and with formal and informal care</w:t>
      </w:r>
      <w:r w:rsidR="009F36B0" w:rsidRPr="00173159">
        <w:fldChar w:fldCharType="begin"/>
      </w:r>
      <w:r w:rsidR="009F36B0" w:rsidRPr="00173159">
        <w:instrText xml:space="preserve"> ADDIN EN.CITE &lt;EndNote&gt;&lt;Cite&gt;&lt;Author&gt;Health Quality and Safety Commission&lt;/Author&gt;&lt;Year&gt;2016&lt;/Year&gt;&lt;RecNum&gt;390&lt;/RecNum&gt;&lt;DisplayText&gt;&lt;style face="superscript"&gt;1&lt;/style&gt;&lt;/DisplayText&gt;&lt;record&gt;&lt;rec-number&gt;390&lt;/rec-number&gt;&lt;foreign-keys&gt;&lt;key app="EN" db-id="05parrrwowsrz8ex5wd52tvmzatt22dr25tp" timestamp="1456109956"&gt;390&lt;/key&gt;&lt;/foreign-keys&gt;&lt;ref-type name="Web Page"&gt;12&lt;/ref-type&gt;&lt;contributors&gt;&lt;authors&gt;&lt;author&gt;Health Quality and Safety Commission,&lt;/author&gt;&lt;/authors&gt;&lt;/contributors&gt;&lt;titles&gt;&lt;title&gt;Atlas of healthcare variation: Falls&lt;/title&gt;&lt;/titles&gt;&lt;number&gt;20 September 2016&lt;/number&gt;&lt;dates&gt;&lt;year&gt;2016&lt;/year&gt;&lt;/dates&gt;&lt;pub-location&gt;Wellington,&lt;/pub-location&gt;&lt;urls&gt;&lt;related-urls&gt;&lt;url&gt;http://www.hqsc.govt.nz/our-programmes/health-quality-evaluation/projects/atlas-of-healthcare-variation/falls/&lt;/url&gt;&lt;/related-urls&gt;&lt;/urls&gt;&lt;/record&gt;&lt;/Cite&gt;&lt;/EndNote&gt;</w:instrText>
      </w:r>
      <w:r w:rsidR="009F36B0" w:rsidRPr="00173159">
        <w:fldChar w:fldCharType="separate"/>
      </w:r>
      <w:r w:rsidR="009F36B0" w:rsidRPr="00173159">
        <w:rPr>
          <w:noProof/>
          <w:vertAlign w:val="superscript"/>
        </w:rPr>
        <w:t>1</w:t>
      </w:r>
      <w:r w:rsidR="009F36B0" w:rsidRPr="00173159">
        <w:fldChar w:fldCharType="end"/>
      </w:r>
      <w:r w:rsidR="009F36B0" w:rsidRPr="00173159">
        <w:t>.</w:t>
      </w:r>
      <w:r w:rsidR="00D347D5" w:rsidRPr="00173159">
        <w:t xml:space="preserve"> </w:t>
      </w:r>
      <w:r w:rsidR="00884669">
        <w:t>a</w:t>
      </w:r>
    </w:p>
    <w:p w14:paraId="7111770C" w14:textId="77777777" w:rsidR="00E17985" w:rsidRPr="00173159" w:rsidRDefault="00E17985" w:rsidP="00E17985">
      <w:pPr>
        <w:spacing w:after="0"/>
        <w:jc w:val="both"/>
      </w:pPr>
    </w:p>
    <w:p w14:paraId="5B55C432" w14:textId="41411444" w:rsidR="00EE0F42" w:rsidRDefault="00BB2521" w:rsidP="003D5957">
      <w:pPr>
        <w:jc w:val="both"/>
      </w:pPr>
      <w:r w:rsidRPr="00301AF0">
        <w:t xml:space="preserve">As </w:t>
      </w:r>
      <w:r w:rsidRPr="00DC5140">
        <w:t>Australia’s</w:t>
      </w:r>
      <w:r w:rsidR="00FF6B2F" w:rsidRPr="00DC5140">
        <w:t xml:space="preserve"> </w:t>
      </w:r>
      <w:r w:rsidR="009522E9" w:rsidRPr="00DC5140">
        <w:t>5.5</w:t>
      </w:r>
      <w:r w:rsidR="00FF6B2F" w:rsidRPr="00DC5140">
        <w:t xml:space="preserve"> million baby</w:t>
      </w:r>
      <w:r w:rsidR="00FF6B2F" w:rsidRPr="00301AF0">
        <w:t xml:space="preserve"> boomers age, hip fractures will continue to place significant demands upon our healthcare system.</w:t>
      </w:r>
      <w:r w:rsidR="00D635FE" w:rsidRPr="00301AF0">
        <w:t xml:space="preserve"> Accordingly, now</w:t>
      </w:r>
      <w:r w:rsidR="00D635FE">
        <w:t xml:space="preserve"> is the time to consider how this serious injury can be managed in the most clinically effective and cost-effective manner.</w:t>
      </w:r>
    </w:p>
    <w:p w14:paraId="70262A91" w14:textId="77777777" w:rsidR="006043E3" w:rsidRDefault="006043E3">
      <w:pPr>
        <w:rPr>
          <w:rFonts w:asciiTheme="majorHAnsi" w:eastAsiaTheme="majorEastAsia" w:hAnsiTheme="majorHAnsi" w:cstheme="majorBidi"/>
          <w:color w:val="2E74B5" w:themeColor="accent1" w:themeShade="BF"/>
          <w:sz w:val="32"/>
          <w:szCs w:val="32"/>
        </w:rPr>
      </w:pPr>
      <w:r>
        <w:br w:type="page"/>
      </w:r>
    </w:p>
    <w:p w14:paraId="70961EA3" w14:textId="1AC41A00" w:rsidR="00C26D63" w:rsidRPr="003D5957" w:rsidRDefault="00FF6B2F" w:rsidP="00CE2EF6">
      <w:pPr>
        <w:pStyle w:val="Heading1"/>
        <w:jc w:val="both"/>
      </w:pPr>
      <w:bookmarkStart w:id="2" w:name="_Toc21443853"/>
      <w:r w:rsidRPr="003D5957">
        <w:t>Best practice in hip fracture care: International experience</w:t>
      </w:r>
      <w:bookmarkEnd w:id="2"/>
    </w:p>
    <w:p w14:paraId="4A22500C" w14:textId="79057208" w:rsidR="0048132B" w:rsidRPr="003D5957" w:rsidRDefault="0048132B" w:rsidP="00CE2EF6">
      <w:pPr>
        <w:pStyle w:val="Heading2"/>
        <w:jc w:val="both"/>
      </w:pPr>
      <w:bookmarkStart w:id="3" w:name="_Toc21443854"/>
      <w:r w:rsidRPr="003D5957">
        <w:t>Development of the combined orthogeriatric model of care</w:t>
      </w:r>
      <w:bookmarkEnd w:id="3"/>
    </w:p>
    <w:p w14:paraId="2165A784" w14:textId="3322DD8F" w:rsidR="002063E4" w:rsidRDefault="002063E4" w:rsidP="00E17985">
      <w:pPr>
        <w:spacing w:after="0"/>
        <w:jc w:val="both"/>
      </w:pPr>
      <w:r>
        <w:t xml:space="preserve">The approach taken to </w:t>
      </w:r>
      <w:r w:rsidR="006946B8">
        <w:t xml:space="preserve">improve </w:t>
      </w:r>
      <w:r>
        <w:t>care for hip fracture patients in the UK provides a useful illustration of how current models of bes</w:t>
      </w:r>
      <w:r w:rsidR="006946B8">
        <w:t xml:space="preserve">t practice </w:t>
      </w:r>
      <w:r>
        <w:t>have evolved. The first collaborations between orthopaedic surgeons and geriatricians were described in the 1960s, and since then the majority of trauma services have incorporated some form of formal geriatrician input to the care of older inpatients recovering from hip fractures. In 2007, the British Orthopaedic Association</w:t>
      </w:r>
      <w:r w:rsidR="00A71856">
        <w:t xml:space="preserve"> (BOA)</w:t>
      </w:r>
      <w:r>
        <w:t xml:space="preserve"> and British </w:t>
      </w:r>
      <w:r w:rsidR="00D421A1">
        <w:t>Geriatrics</w:t>
      </w:r>
      <w:r>
        <w:t xml:space="preserve"> Society</w:t>
      </w:r>
      <w:r w:rsidR="00A71856">
        <w:t xml:space="preserve"> (BGS)</w:t>
      </w:r>
      <w:r>
        <w:t xml:space="preserve"> published the Blue Book on the care of patients with fragility fracture</w:t>
      </w:r>
      <w:bookmarkStart w:id="4" w:name="_Ref18066297"/>
      <w:r w:rsidR="00016CBF">
        <w:rPr>
          <w:rStyle w:val="EndnoteReference"/>
        </w:rPr>
        <w:endnoteReference w:id="12"/>
      </w:r>
      <w:bookmarkEnd w:id="4"/>
      <w:r>
        <w:t>.</w:t>
      </w:r>
      <w:r w:rsidR="00D421A1">
        <w:t xml:space="preserve"> The </w:t>
      </w:r>
      <w:r w:rsidR="00A71856">
        <w:t xml:space="preserve">BOA-BGS </w:t>
      </w:r>
      <w:r w:rsidR="00D421A1">
        <w:t>Blue Book described the following common</w:t>
      </w:r>
      <w:r w:rsidR="0052654D">
        <w:t xml:space="preserve"> models of orthogeriatric care.</w:t>
      </w:r>
    </w:p>
    <w:p w14:paraId="763C39E9" w14:textId="77777777" w:rsidR="00E17985" w:rsidRDefault="00E17985" w:rsidP="00E17985">
      <w:pPr>
        <w:spacing w:after="0"/>
        <w:jc w:val="both"/>
        <w:rPr>
          <w:b/>
        </w:rPr>
      </w:pPr>
    </w:p>
    <w:p w14:paraId="53D82D8C" w14:textId="73B4B2CC" w:rsidR="000B261E" w:rsidRDefault="00D421A1" w:rsidP="00E17985">
      <w:pPr>
        <w:spacing w:after="0"/>
        <w:jc w:val="both"/>
      </w:pPr>
      <w:r w:rsidRPr="00E17985">
        <w:rPr>
          <w:b/>
        </w:rPr>
        <w:t>Traditional orthopaedic care:</w:t>
      </w:r>
    </w:p>
    <w:p w14:paraId="27582F59" w14:textId="62742361" w:rsidR="000B261E" w:rsidRDefault="00D421A1" w:rsidP="00E17985">
      <w:pPr>
        <w:pStyle w:val="ListParagraph"/>
        <w:numPr>
          <w:ilvl w:val="0"/>
          <w:numId w:val="3"/>
        </w:numPr>
        <w:jc w:val="both"/>
      </w:pPr>
      <w:r>
        <w:t>The fracture patient is admitted to a trauma ward and their care and rehabilitation is mainly managed by t</w:t>
      </w:r>
      <w:r w:rsidR="00E17985">
        <w:t xml:space="preserve">he orthopaedic surgeon and team; </w:t>
      </w:r>
    </w:p>
    <w:p w14:paraId="7D1D3ADA" w14:textId="059C2E4C" w:rsidR="00D421A1" w:rsidRDefault="00D421A1" w:rsidP="00E17985">
      <w:pPr>
        <w:pStyle w:val="ListParagraph"/>
        <w:numPr>
          <w:ilvl w:val="0"/>
          <w:numId w:val="3"/>
        </w:numPr>
        <w:jc w:val="both"/>
      </w:pPr>
      <w:r>
        <w:t>Geriatrician input to such wa</w:t>
      </w:r>
      <w:r w:rsidR="00B434A3">
        <w:t>rds can take a variety of forms.</w:t>
      </w:r>
    </w:p>
    <w:p w14:paraId="53A8C4C4" w14:textId="77777777" w:rsidR="00E17985" w:rsidRDefault="00E17985" w:rsidP="00E17985">
      <w:pPr>
        <w:pStyle w:val="ListParagraph"/>
        <w:spacing w:after="0"/>
        <w:jc w:val="both"/>
      </w:pPr>
    </w:p>
    <w:p w14:paraId="3547E18E" w14:textId="5795B7F8" w:rsidR="000B261E" w:rsidRDefault="0052654D" w:rsidP="00E17985">
      <w:pPr>
        <w:spacing w:after="0"/>
        <w:jc w:val="both"/>
      </w:pPr>
      <w:r>
        <w:rPr>
          <w:b/>
        </w:rPr>
        <w:t>Geriatric orthopaedic rehabilitation u</w:t>
      </w:r>
      <w:r w:rsidR="00E76673" w:rsidRPr="00E17985">
        <w:rPr>
          <w:b/>
        </w:rPr>
        <w:t>nit:</w:t>
      </w:r>
    </w:p>
    <w:p w14:paraId="21A4C254" w14:textId="3A566B0E" w:rsidR="000B261E" w:rsidRDefault="00E76673" w:rsidP="00E17985">
      <w:pPr>
        <w:pStyle w:val="ListParagraph"/>
        <w:numPr>
          <w:ilvl w:val="0"/>
          <w:numId w:val="4"/>
        </w:numPr>
        <w:jc w:val="both"/>
      </w:pPr>
      <w:r>
        <w:t>Peri-operative orthopaedic management is followed by early post-operative transfer to a geri</w:t>
      </w:r>
      <w:r w:rsidR="00E17985">
        <w:t>atric rehabilitation unit;</w:t>
      </w:r>
    </w:p>
    <w:p w14:paraId="73F0454F" w14:textId="1568BDCE" w:rsidR="000B261E" w:rsidRDefault="000B261E" w:rsidP="00E17985">
      <w:pPr>
        <w:pStyle w:val="ListParagraph"/>
        <w:numPr>
          <w:ilvl w:val="0"/>
          <w:numId w:val="4"/>
        </w:numPr>
        <w:jc w:val="both"/>
      </w:pPr>
      <w:r>
        <w:t>I</w:t>
      </w:r>
      <w:r w:rsidR="00E76673">
        <w:t>dentification of appropriate patients</w:t>
      </w:r>
      <w:r w:rsidR="00B434A3">
        <w:t xml:space="preserve"> by o</w:t>
      </w:r>
      <w:r>
        <w:t>rthopaedi</w:t>
      </w:r>
      <w:r w:rsidR="00B434A3">
        <w:t>c staff, s</w:t>
      </w:r>
      <w:r w:rsidR="00E76673">
        <w:t>pecialist orthogeriatric liaison nurses/hip fracture</w:t>
      </w:r>
      <w:r w:rsidR="00B434A3">
        <w:t xml:space="preserve"> nurses or r</w:t>
      </w:r>
      <w:r w:rsidR="00E17985">
        <w:t>outine geriatrician rounds;</w:t>
      </w:r>
    </w:p>
    <w:p w14:paraId="639FE9FF" w14:textId="5BE08DD8" w:rsidR="000B261E" w:rsidRDefault="000B261E" w:rsidP="00E17985">
      <w:pPr>
        <w:pStyle w:val="ListParagraph"/>
        <w:numPr>
          <w:ilvl w:val="0"/>
          <w:numId w:val="4"/>
        </w:numPr>
        <w:jc w:val="both"/>
      </w:pPr>
      <w:r>
        <w:t>O</w:t>
      </w:r>
      <w:r w:rsidR="00E76673">
        <w:t>rthopaedic input to</w:t>
      </w:r>
      <w:r w:rsidR="00E17985">
        <w:t xml:space="preserve"> the rehabilitation ward varies;</w:t>
      </w:r>
    </w:p>
    <w:p w14:paraId="08E0D70C" w14:textId="1B058AAF" w:rsidR="00D421A1" w:rsidRDefault="00E76673" w:rsidP="00E17985">
      <w:pPr>
        <w:pStyle w:val="ListParagraph"/>
        <w:numPr>
          <w:ilvl w:val="0"/>
          <w:numId w:val="4"/>
        </w:numPr>
        <w:jc w:val="both"/>
      </w:pPr>
      <w:r>
        <w:t>A weekly surgeon visit at a</w:t>
      </w:r>
      <w:r w:rsidR="000B261E">
        <w:t xml:space="preserve"> fixed time </w:t>
      </w:r>
      <w:r>
        <w:t>allow</w:t>
      </w:r>
      <w:r w:rsidR="000B261E">
        <w:t>s</w:t>
      </w:r>
      <w:r>
        <w:t xml:space="preserve"> multidisciplinary team members to present concerns,</w:t>
      </w:r>
      <w:r w:rsidR="00E17985">
        <w:t xml:space="preserve"> problems and x-rays.</w:t>
      </w:r>
    </w:p>
    <w:p w14:paraId="3EA62920" w14:textId="77777777" w:rsidR="00E17985" w:rsidRDefault="00E17985" w:rsidP="00E17985">
      <w:pPr>
        <w:pStyle w:val="ListParagraph"/>
        <w:spacing w:after="0"/>
        <w:ind w:left="1077"/>
        <w:jc w:val="both"/>
      </w:pPr>
    </w:p>
    <w:p w14:paraId="34A6A10E" w14:textId="1C560204" w:rsidR="000B261E" w:rsidRPr="00E17985" w:rsidRDefault="00B434A3" w:rsidP="00E17985">
      <w:pPr>
        <w:spacing w:after="0"/>
        <w:jc w:val="both"/>
        <w:rPr>
          <w:b/>
        </w:rPr>
      </w:pPr>
      <w:r w:rsidRPr="00E17985">
        <w:rPr>
          <w:b/>
        </w:rPr>
        <w:t>Orthogeriatric liaison and a</w:t>
      </w:r>
      <w:r w:rsidR="0052654D">
        <w:rPr>
          <w:b/>
        </w:rPr>
        <w:t xml:space="preserve"> hip fracture n</w:t>
      </w:r>
      <w:r w:rsidR="000B261E" w:rsidRPr="00E17985">
        <w:rPr>
          <w:b/>
        </w:rPr>
        <w:t xml:space="preserve">urse: </w:t>
      </w:r>
    </w:p>
    <w:p w14:paraId="777D6AAD" w14:textId="5438FFC6" w:rsidR="009A3625" w:rsidRDefault="009A3625" w:rsidP="00E17985">
      <w:pPr>
        <w:pStyle w:val="ListParagraph"/>
        <w:numPr>
          <w:ilvl w:val="0"/>
          <w:numId w:val="4"/>
        </w:numPr>
        <w:jc w:val="both"/>
      </w:pPr>
      <w:r>
        <w:t>Collaborative working requires effective communication between senior medical,</w:t>
      </w:r>
      <w:r w:rsidR="00D3063B">
        <w:t xml:space="preserve"> surgical and anaesthetic staff;</w:t>
      </w:r>
    </w:p>
    <w:p w14:paraId="208AA50A" w14:textId="7281E987" w:rsidR="009A3625" w:rsidRDefault="0052654D" w:rsidP="00E17985">
      <w:pPr>
        <w:pStyle w:val="ListParagraph"/>
        <w:numPr>
          <w:ilvl w:val="0"/>
          <w:numId w:val="4"/>
        </w:numPr>
        <w:jc w:val="both"/>
      </w:pPr>
      <w:r>
        <w:t>A hip fracture n</w:t>
      </w:r>
      <w:r w:rsidR="009A3625">
        <w:t>urse takes responsibility for patients throughout the course of their clinical care; coordinating initial assessment, expediting pre-operative work-up, supervising post-operative care, rehabilitation, discharge planning, sec</w:t>
      </w:r>
      <w:r w:rsidR="00D3063B">
        <w:t>ondary prevention and follow-up;</w:t>
      </w:r>
    </w:p>
    <w:p w14:paraId="01EA265C" w14:textId="77777777" w:rsidR="009A3625" w:rsidRDefault="009A3625" w:rsidP="00E17985">
      <w:pPr>
        <w:pStyle w:val="ListParagraph"/>
        <w:numPr>
          <w:ilvl w:val="0"/>
          <w:numId w:val="4"/>
        </w:numPr>
        <w:jc w:val="both"/>
      </w:pPr>
      <w:r>
        <w:t>Key benefits of this approach include:</w:t>
      </w:r>
    </w:p>
    <w:p w14:paraId="0ECE53F8" w14:textId="7FCF8140" w:rsidR="009A3625" w:rsidRDefault="009A3625" w:rsidP="00E17985">
      <w:pPr>
        <w:pStyle w:val="ListParagraph"/>
        <w:numPr>
          <w:ilvl w:val="1"/>
          <w:numId w:val="4"/>
        </w:numPr>
        <w:jc w:val="both"/>
      </w:pPr>
      <w:r>
        <w:t xml:space="preserve">A consistent health professional </w:t>
      </w:r>
      <w:r w:rsidR="00B434A3">
        <w:t>point of co</w:t>
      </w:r>
      <w:r w:rsidR="00D3063B">
        <w:t>ntact;</w:t>
      </w:r>
    </w:p>
    <w:p w14:paraId="1C77FB95" w14:textId="78B5DA14" w:rsidR="009A3625" w:rsidRDefault="00B434A3" w:rsidP="00E17985">
      <w:pPr>
        <w:pStyle w:val="ListParagraph"/>
        <w:numPr>
          <w:ilvl w:val="1"/>
          <w:numId w:val="4"/>
        </w:numPr>
        <w:jc w:val="both"/>
      </w:pPr>
      <w:r>
        <w:t>The nurse</w:t>
      </w:r>
      <w:r w:rsidR="009A3625">
        <w:t xml:space="preserve"> </w:t>
      </w:r>
      <w:r>
        <w:t>can</w:t>
      </w:r>
      <w:r w:rsidR="009A3625">
        <w:t xml:space="preserve"> coordinate input from medical, orthopaedic, or othe</w:t>
      </w:r>
      <w:r w:rsidR="00D3063B">
        <w:t>r specialist teams if necessary;</w:t>
      </w:r>
    </w:p>
    <w:p w14:paraId="41FB4D3C" w14:textId="7009FC97" w:rsidR="009A3625" w:rsidRDefault="0052654D" w:rsidP="00E17985">
      <w:pPr>
        <w:pStyle w:val="ListParagraph"/>
        <w:numPr>
          <w:ilvl w:val="1"/>
          <w:numId w:val="4"/>
        </w:numPr>
        <w:jc w:val="both"/>
      </w:pPr>
      <w:r>
        <w:t>Hip fracture n</w:t>
      </w:r>
      <w:r w:rsidR="009A3625">
        <w:t xml:space="preserve">urses are ideally placed to coordinate audit </w:t>
      </w:r>
      <w:r w:rsidR="00B434A3">
        <w:t>data collection, such as for a national hip fracture registry.</w:t>
      </w:r>
    </w:p>
    <w:p w14:paraId="473E7E24" w14:textId="77777777" w:rsidR="00E17985" w:rsidRDefault="00E17985" w:rsidP="00D3063B">
      <w:pPr>
        <w:pStyle w:val="ListParagraph"/>
        <w:spacing w:after="0"/>
        <w:ind w:left="1440"/>
        <w:jc w:val="both"/>
      </w:pPr>
    </w:p>
    <w:p w14:paraId="60CEC2EC" w14:textId="77777777" w:rsidR="009A3625" w:rsidRPr="00E17985" w:rsidRDefault="009A3625" w:rsidP="00E17985">
      <w:pPr>
        <w:spacing w:after="0"/>
        <w:jc w:val="both"/>
        <w:rPr>
          <w:b/>
        </w:rPr>
      </w:pPr>
      <w:r w:rsidRPr="00E17985">
        <w:rPr>
          <w:b/>
        </w:rPr>
        <w:t>Combined orthogeriatric care:</w:t>
      </w:r>
    </w:p>
    <w:p w14:paraId="7718C68D" w14:textId="5D643E4A" w:rsidR="009A3625" w:rsidRDefault="009A3625" w:rsidP="00E17985">
      <w:pPr>
        <w:pStyle w:val="ListParagraph"/>
        <w:numPr>
          <w:ilvl w:val="0"/>
          <w:numId w:val="4"/>
        </w:numPr>
        <w:jc w:val="both"/>
      </w:pPr>
      <w:r>
        <w:t>The fracture patient is admitted to a specialised orthogeriatric ward under the care of both geriatricians and orthopaedic surgeons</w:t>
      </w:r>
      <w:r w:rsidR="0052654D">
        <w:t>;</w:t>
      </w:r>
    </w:p>
    <w:p w14:paraId="0C8601DE" w14:textId="4C1A6F75" w:rsidR="009A3625" w:rsidRDefault="009A3625" w:rsidP="00E17985">
      <w:pPr>
        <w:pStyle w:val="ListParagraph"/>
        <w:numPr>
          <w:ilvl w:val="0"/>
          <w:numId w:val="4"/>
        </w:numPr>
        <w:jc w:val="both"/>
      </w:pPr>
      <w:r>
        <w:t>This level of collaborat</w:t>
      </w:r>
      <w:r w:rsidR="0052654D">
        <w:t>ion underpins the concept of a hip fracture s</w:t>
      </w:r>
      <w:r>
        <w:t>ervice, with pre-operative assessment by the orthogeriatric medical team, who will take the lead in post-o</w:t>
      </w:r>
      <w:r w:rsidR="0052654D">
        <w:t>perative multidisciplinary care;</w:t>
      </w:r>
    </w:p>
    <w:p w14:paraId="0142EFF6" w14:textId="02C67135" w:rsidR="00886754" w:rsidRDefault="009A3625" w:rsidP="00D3063B">
      <w:pPr>
        <w:pStyle w:val="ListParagraph"/>
        <w:numPr>
          <w:ilvl w:val="0"/>
          <w:numId w:val="4"/>
        </w:numPr>
        <w:spacing w:after="0"/>
        <w:ind w:left="714" w:hanging="357"/>
        <w:jc w:val="both"/>
      </w:pPr>
      <w:r>
        <w:t>Rehabilitation may occur in this setting or in a separate rehabilitation unit.</w:t>
      </w:r>
    </w:p>
    <w:p w14:paraId="500A03FD" w14:textId="43D298F6" w:rsidR="00FF6B2F" w:rsidRDefault="00A86EDD" w:rsidP="00D3063B">
      <w:pPr>
        <w:spacing w:after="0"/>
        <w:jc w:val="both"/>
      </w:pPr>
      <w:r>
        <w:t>During the last 20 years, development and implementation of th</w:t>
      </w:r>
      <w:r w:rsidR="009A3625">
        <w:t>e combined o</w:t>
      </w:r>
      <w:r>
        <w:t xml:space="preserve">rthogeriatric model of care has </w:t>
      </w:r>
      <w:r w:rsidR="00B6564D">
        <w:t>occurred in many countries</w:t>
      </w:r>
      <w:r w:rsidR="00BD30FB">
        <w:rPr>
          <w:rStyle w:val="EndnoteReference"/>
        </w:rPr>
        <w:endnoteReference w:id="13"/>
      </w:r>
      <w:r w:rsidR="00BD30FB">
        <w:t xml:space="preserve"> </w:t>
      </w:r>
      <w:r w:rsidR="00BD30FB">
        <w:rPr>
          <w:rStyle w:val="EndnoteReference"/>
        </w:rPr>
        <w:endnoteReference w:id="14"/>
      </w:r>
      <w:r w:rsidR="00BD30FB">
        <w:t xml:space="preserve"> </w:t>
      </w:r>
      <w:r w:rsidR="00BD30FB">
        <w:rPr>
          <w:rStyle w:val="EndnoteReference"/>
        </w:rPr>
        <w:endnoteReference w:id="15"/>
      </w:r>
      <w:r w:rsidR="00460CA3">
        <w:t xml:space="preserve"> </w:t>
      </w:r>
      <w:r w:rsidR="00460CA3">
        <w:rPr>
          <w:rStyle w:val="EndnoteReference"/>
        </w:rPr>
        <w:endnoteReference w:id="16"/>
      </w:r>
      <w:r w:rsidR="00460CA3">
        <w:t xml:space="preserve"> </w:t>
      </w:r>
      <w:r w:rsidR="00460CA3">
        <w:rPr>
          <w:rStyle w:val="EndnoteReference"/>
        </w:rPr>
        <w:endnoteReference w:id="17"/>
      </w:r>
      <w:r w:rsidR="00460CA3">
        <w:t xml:space="preserve"> </w:t>
      </w:r>
      <w:r w:rsidR="00460CA3">
        <w:rPr>
          <w:rStyle w:val="EndnoteReference"/>
        </w:rPr>
        <w:endnoteReference w:id="18"/>
      </w:r>
      <w:r w:rsidR="00460CA3">
        <w:t xml:space="preserve"> </w:t>
      </w:r>
      <w:r w:rsidR="00460CA3">
        <w:rPr>
          <w:rStyle w:val="EndnoteReference"/>
        </w:rPr>
        <w:endnoteReference w:id="19"/>
      </w:r>
      <w:r w:rsidR="00460CA3">
        <w:t xml:space="preserve"> </w:t>
      </w:r>
      <w:r w:rsidR="00460CA3">
        <w:rPr>
          <w:rStyle w:val="EndnoteReference"/>
        </w:rPr>
        <w:endnoteReference w:id="20"/>
      </w:r>
      <w:r w:rsidR="002063E4">
        <w:t xml:space="preserve">. </w:t>
      </w:r>
      <w:r>
        <w:t>The core principles underpinning this model of care have been described as</w:t>
      </w:r>
      <w:r w:rsidR="00460CA3">
        <w:rPr>
          <w:rStyle w:val="EndnoteReference"/>
        </w:rPr>
        <w:endnoteReference w:id="21"/>
      </w:r>
      <w:r>
        <w:t>:</w:t>
      </w:r>
    </w:p>
    <w:p w14:paraId="2B47CFD0" w14:textId="1CD7C389" w:rsidR="00A86EDD" w:rsidRDefault="00A86EDD" w:rsidP="00014A9F">
      <w:pPr>
        <w:pStyle w:val="ListParagraph"/>
        <w:numPr>
          <w:ilvl w:val="0"/>
          <w:numId w:val="28"/>
        </w:numPr>
        <w:jc w:val="both"/>
      </w:pPr>
      <w:r>
        <w:t>Most patients benefit from surgical fracture stabilisation</w:t>
      </w:r>
      <w:r w:rsidR="000A16FB">
        <w:t>;</w:t>
      </w:r>
    </w:p>
    <w:p w14:paraId="7CFC1C4D" w14:textId="3F81C38E" w:rsidR="00A86EDD" w:rsidRDefault="00A86EDD" w:rsidP="00014A9F">
      <w:pPr>
        <w:pStyle w:val="ListParagraph"/>
        <w:numPr>
          <w:ilvl w:val="0"/>
          <w:numId w:val="28"/>
        </w:numPr>
        <w:jc w:val="both"/>
      </w:pPr>
      <w:r>
        <w:t>The sooner patients have surgery, the less time they have to develop complications and functional decline</w:t>
      </w:r>
      <w:r w:rsidR="000A16FB">
        <w:t>;</w:t>
      </w:r>
    </w:p>
    <w:p w14:paraId="6ED6A996" w14:textId="6E7D66F9" w:rsidR="00A86EDD" w:rsidRDefault="00B6564D">
      <w:pPr>
        <w:pStyle w:val="ListParagraph"/>
        <w:numPr>
          <w:ilvl w:val="0"/>
          <w:numId w:val="2"/>
        </w:numPr>
        <w:jc w:val="both"/>
      </w:pPr>
      <w:r>
        <w:t>Co-management, with frequent communication between d</w:t>
      </w:r>
      <w:r w:rsidR="000A16FB">
        <w:t>isciplines, avoids iatrogenesis;</w:t>
      </w:r>
    </w:p>
    <w:p w14:paraId="3C34C3D2" w14:textId="53A1DC67" w:rsidR="00B6564D" w:rsidRDefault="0048132B">
      <w:pPr>
        <w:pStyle w:val="ListParagraph"/>
        <w:numPr>
          <w:ilvl w:val="0"/>
          <w:numId w:val="2"/>
        </w:numPr>
        <w:jc w:val="both"/>
      </w:pPr>
      <w:r>
        <w:t>Standardis</w:t>
      </w:r>
      <w:r w:rsidR="00B6564D">
        <w:t>ed protocols d</w:t>
      </w:r>
      <w:r w:rsidR="000A16FB">
        <w:t>ecrease unwarranted variability;</w:t>
      </w:r>
    </w:p>
    <w:p w14:paraId="69186B26" w14:textId="188AE032" w:rsidR="00EE0F42" w:rsidRDefault="00B6564D" w:rsidP="00D3063B">
      <w:pPr>
        <w:pStyle w:val="ListParagraph"/>
        <w:numPr>
          <w:ilvl w:val="0"/>
          <w:numId w:val="2"/>
        </w:numPr>
        <w:spacing w:after="0"/>
        <w:ind w:left="714" w:hanging="357"/>
        <w:jc w:val="both"/>
      </w:pPr>
      <w:r>
        <w:t>Discharge planning begins when the patient is admitted to the hospital.</w:t>
      </w:r>
    </w:p>
    <w:p w14:paraId="34E5A347" w14:textId="77777777" w:rsidR="003D5957" w:rsidRDefault="003D5957" w:rsidP="00D3063B">
      <w:pPr>
        <w:pStyle w:val="Heading2"/>
        <w:spacing w:before="0"/>
      </w:pPr>
    </w:p>
    <w:p w14:paraId="45FD9A2D" w14:textId="6D19497F" w:rsidR="00B6564D" w:rsidRPr="003D5957" w:rsidRDefault="007E69BE" w:rsidP="00CE2EF6">
      <w:pPr>
        <w:pStyle w:val="Heading2"/>
        <w:jc w:val="both"/>
      </w:pPr>
      <w:bookmarkStart w:id="5" w:name="_Toc21443855"/>
      <w:r w:rsidRPr="003D5957">
        <w:t>International experience of b</w:t>
      </w:r>
      <w:r w:rsidR="0048132B" w:rsidRPr="003D5957">
        <w:t>enchmarking hip fracture care against national clinical standards</w:t>
      </w:r>
      <w:bookmarkEnd w:id="5"/>
    </w:p>
    <w:p w14:paraId="073C6AD3" w14:textId="38BDDB07" w:rsidR="0080146E" w:rsidRDefault="00A71856" w:rsidP="00D3063B">
      <w:pPr>
        <w:spacing w:after="0"/>
        <w:jc w:val="both"/>
      </w:pPr>
      <w:r>
        <w:t xml:space="preserve">The </w:t>
      </w:r>
      <w:r w:rsidR="009D21BF">
        <w:t>BOA –</w:t>
      </w:r>
      <w:r w:rsidR="00460CA3">
        <w:t xml:space="preserve"> BGS</w:t>
      </w:r>
      <w:r>
        <w:t xml:space="preserve"> Blue Book identified six standards for hip fracture care</w:t>
      </w:r>
      <w:r w:rsidR="00AD37E6">
        <w:fldChar w:fldCharType="begin"/>
      </w:r>
      <w:r w:rsidR="00AD37E6">
        <w:instrText xml:space="preserve"> NOTEREF _Ref18066297 \f \h </w:instrText>
      </w:r>
      <w:r w:rsidR="00AD37E6">
        <w:fldChar w:fldCharType="separate"/>
      </w:r>
      <w:r w:rsidR="008B7C65" w:rsidRPr="008B7C65">
        <w:rPr>
          <w:rStyle w:val="EndnoteReference"/>
        </w:rPr>
        <w:t>12</w:t>
      </w:r>
      <w:r w:rsidR="00AD37E6">
        <w:fldChar w:fldCharType="end"/>
      </w:r>
      <w:r w:rsidR="00B434A3">
        <w:t xml:space="preserve">. </w:t>
      </w:r>
      <w:r>
        <w:t>To enable benchmarking of care against these standards and other relevant metrics, the UK National Hip Fracture Database (NHFD) was launched in tandem with the Blue Book</w:t>
      </w:r>
      <w:r w:rsidR="008549D9">
        <w:rPr>
          <w:rStyle w:val="EndnoteReference"/>
        </w:rPr>
        <w:endnoteReference w:id="22"/>
      </w:r>
      <w:r>
        <w:t>.</w:t>
      </w:r>
      <w:r w:rsidR="00D445F6">
        <w:t xml:space="preserve"> </w:t>
      </w:r>
      <w:r w:rsidR="00D445F6" w:rsidRPr="00D445F6">
        <w:t xml:space="preserve">The NHFD is the largest and fastest-growing national hip fracture </w:t>
      </w:r>
      <w:r w:rsidR="00D445F6" w:rsidRPr="00735AAA">
        <w:t xml:space="preserve">audit in the </w:t>
      </w:r>
      <w:r w:rsidR="00735AAA" w:rsidRPr="00735AAA">
        <w:t>world with more than</w:t>
      </w:r>
      <w:r w:rsidR="00D445F6" w:rsidRPr="00735AAA">
        <w:t xml:space="preserve"> half a million cases</w:t>
      </w:r>
      <w:r w:rsidR="00D445F6" w:rsidRPr="00D445F6">
        <w:t xml:space="preserve"> recorded since its launch in 2007. All hospitals receiving hip fracture patients in England, Wales, Northern Ireland and Channel Islands participate. The most</w:t>
      </w:r>
      <w:r w:rsidR="00D445F6">
        <w:t xml:space="preserve"> recent report </w:t>
      </w:r>
      <w:r w:rsidR="00D445F6" w:rsidRPr="00735AAA">
        <w:t xml:space="preserve">published </w:t>
      </w:r>
      <w:r w:rsidR="00735AAA" w:rsidRPr="00735AAA">
        <w:t>in 2018</w:t>
      </w:r>
      <w:r w:rsidR="00D445F6" w:rsidRPr="00735AAA">
        <w:t xml:space="preserve"> benchmarked</w:t>
      </w:r>
      <w:r w:rsidR="005C672E">
        <w:t xml:space="preserve"> care of more than</w:t>
      </w:r>
      <w:r w:rsidR="00D445F6" w:rsidRPr="00735AAA">
        <w:t xml:space="preserve"> </w:t>
      </w:r>
      <w:r w:rsidR="00735AAA" w:rsidRPr="00735AAA">
        <w:t>66,500</w:t>
      </w:r>
      <w:r w:rsidR="001D2185">
        <w:t xml:space="preserve"> </w:t>
      </w:r>
      <w:r w:rsidR="001D2185" w:rsidRPr="00735AAA">
        <w:t xml:space="preserve">presentations during </w:t>
      </w:r>
      <w:r w:rsidR="00735AAA" w:rsidRPr="00735AAA">
        <w:t>2017</w:t>
      </w:r>
      <w:r w:rsidR="00D445F6" w:rsidRPr="00735AAA">
        <w:t xml:space="preserve"> against current</w:t>
      </w:r>
      <w:r w:rsidR="00D445F6">
        <w:t xml:space="preserve"> </w:t>
      </w:r>
      <w:r w:rsidR="00D445F6" w:rsidRPr="00D445F6">
        <w:t>national professional stan</w:t>
      </w:r>
      <w:r w:rsidR="00D445F6">
        <w:t>dards</w:t>
      </w:r>
      <w:bookmarkStart w:id="6" w:name="_Ref18396992"/>
      <w:r w:rsidR="008549D9">
        <w:rPr>
          <w:rStyle w:val="EndnoteReference"/>
        </w:rPr>
        <w:endnoteReference w:id="23"/>
      </w:r>
      <w:bookmarkEnd w:id="6"/>
      <w:r w:rsidR="0080146E">
        <w:t>.</w:t>
      </w:r>
      <w:r w:rsidR="00984C9C">
        <w:t xml:space="preserve"> </w:t>
      </w:r>
    </w:p>
    <w:p w14:paraId="40DBE806" w14:textId="77777777" w:rsidR="00D3063B" w:rsidRDefault="00D3063B" w:rsidP="00D3063B">
      <w:pPr>
        <w:spacing w:after="0"/>
        <w:jc w:val="both"/>
      </w:pPr>
    </w:p>
    <w:p w14:paraId="33DAD0AF" w14:textId="256C2533" w:rsidR="0080146E" w:rsidRPr="00927055" w:rsidRDefault="0080146E" w:rsidP="00D3063B">
      <w:pPr>
        <w:spacing w:after="0"/>
        <w:jc w:val="both"/>
      </w:pPr>
      <w:r w:rsidRPr="00927055">
        <w:t>In 2015, an external evaluation was undertaken to assess the impact of the national clinical standards, data collection, and feedback, together with NHFD-led activities to support regional and na</w:t>
      </w:r>
      <w:r w:rsidR="00D24DDF" w:rsidRPr="00927055">
        <w:t>tional sharing of best</w:t>
      </w:r>
      <w:r w:rsidRPr="00927055">
        <w:t xml:space="preserve"> clinical practice and encourage local implementation at hospitals</w:t>
      </w:r>
      <w:r w:rsidR="008549D9">
        <w:rPr>
          <w:rStyle w:val="EndnoteReference"/>
        </w:rPr>
        <w:endnoteReference w:id="24"/>
      </w:r>
      <w:r w:rsidR="00D24DDF" w:rsidRPr="00927055">
        <w:t>. Routinely collected data on 471,590 people aged 60 years and older who were admitted with a hip fracture to National Health Service (NHS) hospitals in England between 2003 and 2011 were analysed. The variables of interest were the use of early surgery (on day of admission, or day after) and mortality at 30 days from admission. Time trends were compared for the periods 2003-2007 and 2007-2011 (i.e. before and after the launch of the NHFD). Key findings included:</w:t>
      </w:r>
    </w:p>
    <w:p w14:paraId="6C848D9B" w14:textId="46F2B472" w:rsidR="00D24DDF" w:rsidRPr="00927055" w:rsidRDefault="003457FE" w:rsidP="00014A9F">
      <w:pPr>
        <w:pStyle w:val="ListParagraph"/>
        <w:numPr>
          <w:ilvl w:val="0"/>
          <w:numId w:val="5"/>
        </w:numPr>
        <w:jc w:val="both"/>
      </w:pPr>
      <w:r w:rsidRPr="00927055">
        <w:t>The number of hospitals participating in the NHFD increased</w:t>
      </w:r>
      <w:r w:rsidR="004E1BCB">
        <w:t xml:space="preserve"> from 11 in 2007 to 175 in 2011;</w:t>
      </w:r>
    </w:p>
    <w:p w14:paraId="343970D1" w14:textId="3A4EDEF2" w:rsidR="003457FE" w:rsidRPr="00927055" w:rsidRDefault="003457FE" w:rsidP="00014A9F">
      <w:pPr>
        <w:pStyle w:val="ListParagraph"/>
        <w:numPr>
          <w:ilvl w:val="0"/>
          <w:numId w:val="5"/>
        </w:numPr>
        <w:jc w:val="both"/>
      </w:pPr>
      <w:r w:rsidRPr="00927055">
        <w:t>From 2007 to 2011, the rate of early surgery increased from 54.5% to 71.3%, whereas the rate had remained s</w:t>
      </w:r>
      <w:r w:rsidR="004E1BCB">
        <w:t>table over the period 2003–2007;</w:t>
      </w:r>
    </w:p>
    <w:p w14:paraId="1AA9BEFF" w14:textId="77777777" w:rsidR="003457FE" w:rsidRPr="00927055" w:rsidRDefault="003457FE" w:rsidP="00014A9F">
      <w:pPr>
        <w:pStyle w:val="ListParagraph"/>
        <w:numPr>
          <w:ilvl w:val="0"/>
          <w:numId w:val="5"/>
        </w:numPr>
        <w:jc w:val="both"/>
      </w:pPr>
      <w:r w:rsidRPr="00927055">
        <w:t>Thirty-day mortality fell from 10.9% to 8.5%, compared with a small reduction from 11.5% to 10.9% previously:</w:t>
      </w:r>
    </w:p>
    <w:p w14:paraId="7D10F188" w14:textId="2761E667" w:rsidR="003457FE" w:rsidRDefault="003457FE" w:rsidP="00014A9F">
      <w:pPr>
        <w:pStyle w:val="ListParagraph"/>
        <w:numPr>
          <w:ilvl w:val="1"/>
          <w:numId w:val="5"/>
        </w:numPr>
        <w:spacing w:after="0"/>
        <w:ind w:left="1434" w:hanging="357"/>
        <w:jc w:val="both"/>
      </w:pPr>
      <w:r w:rsidRPr="00927055">
        <w:t>The annual relative reduction in adjusted 30-day mortality was 1.8% per year in the period 2003–2007, compared with 7.6% per year over 2007–2011 (P&lt; 0.001 for the difference).</w:t>
      </w:r>
    </w:p>
    <w:p w14:paraId="71D0BE01" w14:textId="77777777" w:rsidR="004E1BCB" w:rsidRPr="00927055" w:rsidRDefault="004E1BCB" w:rsidP="004E1BCB">
      <w:pPr>
        <w:spacing w:after="0"/>
        <w:jc w:val="both"/>
      </w:pPr>
    </w:p>
    <w:p w14:paraId="6C18E699" w14:textId="56C646B4" w:rsidR="00886754" w:rsidRDefault="00CE2430" w:rsidP="00886754">
      <w:pPr>
        <w:jc w:val="both"/>
      </w:pPr>
      <w:r>
        <w:t xml:space="preserve">In addition to optimal management of the acute event and rehabilitation, because </w:t>
      </w:r>
      <w:r w:rsidR="00966169" w:rsidRPr="00682826">
        <w:t>up to 9%</w:t>
      </w:r>
      <w:r w:rsidRPr="00682826">
        <w:t xml:space="preserve"> of hip fracture patients will go on to break their other hip</w:t>
      </w:r>
      <w:r w:rsidR="008549D9">
        <w:rPr>
          <w:rStyle w:val="EndnoteReference"/>
        </w:rPr>
        <w:endnoteReference w:id="25"/>
      </w:r>
      <w:r w:rsidR="008549D9">
        <w:t xml:space="preserve"> </w:t>
      </w:r>
      <w:r w:rsidR="008549D9">
        <w:rPr>
          <w:rStyle w:val="EndnoteReference"/>
        </w:rPr>
        <w:endnoteReference w:id="26"/>
      </w:r>
      <w:r w:rsidR="008549D9">
        <w:t xml:space="preserve"> </w:t>
      </w:r>
      <w:r w:rsidR="008549D9">
        <w:rPr>
          <w:rStyle w:val="EndnoteReference"/>
        </w:rPr>
        <w:endnoteReference w:id="27"/>
      </w:r>
      <w:r w:rsidR="008549D9">
        <w:t xml:space="preserve"> </w:t>
      </w:r>
      <w:r w:rsidR="008549D9">
        <w:rPr>
          <w:rStyle w:val="EndnoteReference"/>
        </w:rPr>
        <w:endnoteReference w:id="28"/>
      </w:r>
      <w:r w:rsidRPr="00682826">
        <w:t>, a determined effort to prevent future falls and fractures is needed</w:t>
      </w:r>
      <w:r w:rsidR="00966169" w:rsidRPr="00682826">
        <w:t xml:space="preserve">. In this regard, the NHFD initiative has been associated with </w:t>
      </w:r>
      <w:r w:rsidR="001D2185" w:rsidRPr="00682826">
        <w:t xml:space="preserve">a </w:t>
      </w:r>
      <w:r w:rsidR="00966169" w:rsidRPr="00682826">
        <w:t>very significant change in the delivery of secondary falls and fracture prevention. The 201</w:t>
      </w:r>
      <w:r w:rsidR="000835CE">
        <w:t>8</w:t>
      </w:r>
      <w:r w:rsidR="00966169" w:rsidRPr="00682826">
        <w:t xml:space="preserve"> NHFD annual report</w:t>
      </w:r>
      <w:r w:rsidR="00E0551F" w:rsidRPr="008A3F4F">
        <w:rPr>
          <w:vertAlign w:val="superscript"/>
        </w:rPr>
        <w:fldChar w:fldCharType="begin"/>
      </w:r>
      <w:r w:rsidR="00E0551F" w:rsidRPr="008A3F4F">
        <w:rPr>
          <w:vertAlign w:val="superscript"/>
        </w:rPr>
        <w:instrText xml:space="preserve"> NOTEREF _Ref18396992 \h </w:instrText>
      </w:r>
      <w:r w:rsidR="00E0551F">
        <w:rPr>
          <w:vertAlign w:val="superscript"/>
        </w:rPr>
        <w:instrText xml:space="preserve"> \* MERGEFORMAT </w:instrText>
      </w:r>
      <w:r w:rsidR="00E0551F" w:rsidRPr="008A3F4F">
        <w:rPr>
          <w:vertAlign w:val="superscript"/>
        </w:rPr>
      </w:r>
      <w:r w:rsidR="00E0551F" w:rsidRPr="008A3F4F">
        <w:rPr>
          <w:vertAlign w:val="superscript"/>
        </w:rPr>
        <w:fldChar w:fldCharType="separate"/>
      </w:r>
      <w:r w:rsidR="008B7C65">
        <w:rPr>
          <w:vertAlign w:val="superscript"/>
        </w:rPr>
        <w:t>23</w:t>
      </w:r>
      <w:r w:rsidR="00E0551F" w:rsidRPr="008A3F4F">
        <w:rPr>
          <w:vertAlign w:val="superscript"/>
        </w:rPr>
        <w:fldChar w:fldCharType="end"/>
      </w:r>
      <w:r w:rsidR="00966169" w:rsidRPr="00682826">
        <w:t xml:space="preserve"> indicated that 9</w:t>
      </w:r>
      <w:r w:rsidR="00611F6E">
        <w:t>6.8</w:t>
      </w:r>
      <w:r w:rsidR="00966169" w:rsidRPr="00682826">
        <w:t xml:space="preserve">% of patients had been assessed for the need </w:t>
      </w:r>
      <w:r w:rsidR="00F508CF">
        <w:t>for bone protection medication.</w:t>
      </w:r>
      <w:r w:rsidR="00966169" w:rsidRPr="00682826">
        <w:t xml:space="preserve"> </w:t>
      </w:r>
      <w:r w:rsidR="00CF3E63">
        <w:t xml:space="preserve">Only 38.4% of patients received 120-day follow-up of their mobility and to confirm that they were still taking bone protection medication. This means that most units do not know if their patients are continuing with effective bone protection. </w:t>
      </w:r>
      <w:r w:rsidR="00966169" w:rsidRPr="00682826">
        <w:t>Assessment of falls risk was undertaken for 9</w:t>
      </w:r>
      <w:r w:rsidR="00611F6E">
        <w:t>6</w:t>
      </w:r>
      <w:r w:rsidR="00966169" w:rsidRPr="00682826">
        <w:t>% of cases.</w:t>
      </w:r>
    </w:p>
    <w:p w14:paraId="3DA61BAA" w14:textId="77777777" w:rsidR="00886754" w:rsidRDefault="00886754">
      <w:r>
        <w:br w:type="page"/>
      </w:r>
    </w:p>
    <w:p w14:paraId="05AC67E5" w14:textId="62838F2F" w:rsidR="00966169" w:rsidRPr="00CE2EF6" w:rsidRDefault="00D24DB1" w:rsidP="00CE2EF6">
      <w:pPr>
        <w:pStyle w:val="Heading1"/>
        <w:jc w:val="both"/>
      </w:pPr>
      <w:bookmarkStart w:id="7" w:name="_Toc21443856"/>
      <w:r w:rsidRPr="00CE2EF6">
        <w:t xml:space="preserve">A systematic approach to hip fracture care and prevention for </w:t>
      </w:r>
      <w:r w:rsidR="00E25DAE" w:rsidRPr="00CE2EF6">
        <w:t>Australia</w:t>
      </w:r>
      <w:r w:rsidR="00984C9C" w:rsidRPr="00CE2EF6">
        <w:t xml:space="preserve"> and New Zealand</w:t>
      </w:r>
      <w:bookmarkEnd w:id="7"/>
    </w:p>
    <w:p w14:paraId="6FB75C0A" w14:textId="56FCA1B9" w:rsidR="00A26C52" w:rsidRDefault="009D21BF" w:rsidP="004E1BCB">
      <w:pPr>
        <w:spacing w:after="0"/>
        <w:jc w:val="both"/>
      </w:pPr>
      <w:r>
        <w:t xml:space="preserve">Following on from the BOA and BGS </w:t>
      </w:r>
      <w:r w:rsidR="00A26C52">
        <w:t>successful implementation of a N</w:t>
      </w:r>
      <w:r>
        <w:t>ational Hip Fracture Database</w:t>
      </w:r>
      <w:r w:rsidR="00A26C52">
        <w:t xml:space="preserve"> in 2011, representatives from many sectors in Australia and New Zealand agreed in principle to support the development of an Australian and New Zealand Hip Fracture Registry.</w:t>
      </w:r>
    </w:p>
    <w:p w14:paraId="4BC8E935" w14:textId="77777777" w:rsidR="004E1BCB" w:rsidRDefault="004E1BCB" w:rsidP="004E1BCB">
      <w:pPr>
        <w:spacing w:after="0"/>
        <w:jc w:val="both"/>
      </w:pPr>
    </w:p>
    <w:p w14:paraId="421A6746" w14:textId="353EF850" w:rsidR="00D24DB1" w:rsidRDefault="00D24DB1" w:rsidP="004E1BCB">
      <w:pPr>
        <w:spacing w:after="0"/>
        <w:jc w:val="both"/>
      </w:pPr>
      <w:r>
        <w:t xml:space="preserve">Since 2011, </w:t>
      </w:r>
      <w:r w:rsidR="00904474">
        <w:t xml:space="preserve">informed by the experience from the UK and other countries, </w:t>
      </w:r>
      <w:r>
        <w:t>a multisector effort to develop and implement a systematic approach to hip fracture care and prevention</w:t>
      </w:r>
      <w:r w:rsidR="00E25DAE">
        <w:t xml:space="preserve"> in</w:t>
      </w:r>
      <w:r w:rsidR="00E271EC">
        <w:t xml:space="preserve"> </w:t>
      </w:r>
      <w:r w:rsidR="00E25DAE">
        <w:t>Aus</w:t>
      </w:r>
      <w:r w:rsidR="000A0BDC">
        <w:t>t</w:t>
      </w:r>
      <w:r w:rsidR="00E25DAE">
        <w:t xml:space="preserve">ralia </w:t>
      </w:r>
      <w:r>
        <w:t>has resulted in significant progress:</w:t>
      </w:r>
    </w:p>
    <w:p w14:paraId="09F8D348" w14:textId="6C2B1A25" w:rsidR="00D24DB1" w:rsidRPr="00984C9C" w:rsidRDefault="00D24DB1" w:rsidP="00014A9F">
      <w:pPr>
        <w:pStyle w:val="ListParagraph"/>
        <w:numPr>
          <w:ilvl w:val="0"/>
          <w:numId w:val="7"/>
        </w:numPr>
        <w:jc w:val="both"/>
      </w:pPr>
      <w:r w:rsidRPr="00797A89">
        <w:rPr>
          <w:b/>
        </w:rPr>
        <w:t>2011:</w:t>
      </w:r>
      <w:r w:rsidRPr="00797A89">
        <w:t xml:space="preserve"> First meeting of clinicians from Australia and New Zealand to consider how experience </w:t>
      </w:r>
      <w:r w:rsidRPr="00984C9C">
        <w:t>from elsewhere co</w:t>
      </w:r>
      <w:r w:rsidR="000A16FB">
        <w:t xml:space="preserve">uld inform development of an </w:t>
      </w:r>
      <w:r w:rsidR="007174B7">
        <w:t>Australian</w:t>
      </w:r>
      <w:r w:rsidR="000A16FB">
        <w:t xml:space="preserve"> and New Zealand</w:t>
      </w:r>
      <w:r w:rsidRPr="00984C9C">
        <w:t xml:space="preserve"> Hip Fracture Registry</w:t>
      </w:r>
      <w:r w:rsidR="00E82A5D">
        <w:t xml:space="preserve"> (ANZ</w:t>
      </w:r>
      <w:r w:rsidR="00E37BEC" w:rsidRPr="00984C9C">
        <w:t>HFR)</w:t>
      </w:r>
      <w:r w:rsidRPr="00984C9C">
        <w:t>.</w:t>
      </w:r>
    </w:p>
    <w:p w14:paraId="2F9073B6" w14:textId="06DE9AC9" w:rsidR="00984C9C" w:rsidRDefault="00D24DB1" w:rsidP="00014A9F">
      <w:pPr>
        <w:pStyle w:val="ListParagraph"/>
        <w:numPr>
          <w:ilvl w:val="0"/>
          <w:numId w:val="7"/>
        </w:numPr>
        <w:jc w:val="both"/>
      </w:pPr>
      <w:r w:rsidRPr="00984C9C">
        <w:rPr>
          <w:b/>
        </w:rPr>
        <w:t>2012:</w:t>
      </w:r>
      <w:r w:rsidRPr="00984C9C">
        <w:t xml:space="preserve"> Osteoporosis New Zealand published </w:t>
      </w:r>
      <w:r w:rsidRPr="00984C9C">
        <w:rPr>
          <w:i/>
        </w:rPr>
        <w:t>BoneCare 2020</w:t>
      </w:r>
      <w:r w:rsidR="00CD5291" w:rsidRPr="00984C9C">
        <w:t>,</w:t>
      </w:r>
      <w:r w:rsidR="00797A89" w:rsidRPr="00984C9C">
        <w:t xml:space="preserve"> which</w:t>
      </w:r>
      <w:r w:rsidR="00CD5291" w:rsidRPr="00984C9C">
        <w:t xml:space="preserve"> called for development of a national hip fracture registry and nationwide implementation of models of care to improve</w:t>
      </w:r>
      <w:r w:rsidR="00797A89" w:rsidRPr="00984C9C">
        <w:t xml:space="preserve"> both acute hip fracture care</w:t>
      </w:r>
      <w:r w:rsidR="000A16FB">
        <w:t xml:space="preserve"> (orthogeriatrics s</w:t>
      </w:r>
      <w:r w:rsidR="005A7122" w:rsidRPr="00984C9C">
        <w:t>ervices)</w:t>
      </w:r>
      <w:r w:rsidR="00797A89" w:rsidRPr="00984C9C">
        <w:t xml:space="preserve"> and prevention of hip and other fragility fractures</w:t>
      </w:r>
      <w:r w:rsidR="000A16FB">
        <w:t xml:space="preserve"> (fracture liaison s</w:t>
      </w:r>
      <w:r w:rsidR="005A7122" w:rsidRPr="00984C9C">
        <w:t>ervices)</w:t>
      </w:r>
      <w:r w:rsidR="00823AB7">
        <w:rPr>
          <w:rStyle w:val="EndnoteReference"/>
        </w:rPr>
        <w:endnoteReference w:id="29"/>
      </w:r>
      <w:r w:rsidR="00797A89" w:rsidRPr="00984C9C">
        <w:t>.</w:t>
      </w:r>
      <w:r w:rsidR="00601A63" w:rsidRPr="00984C9C">
        <w:t xml:space="preserve"> The Health Quality and Safety Commission New Zealand launched the </w:t>
      </w:r>
      <w:r w:rsidR="00601A63" w:rsidRPr="00984C9C">
        <w:rPr>
          <w:i/>
        </w:rPr>
        <w:t>Reducing Harm from Falls</w:t>
      </w:r>
      <w:r w:rsidR="00601A63" w:rsidRPr="00984C9C">
        <w:t xml:space="preserve"> programme</w:t>
      </w:r>
      <w:r w:rsidR="00823AB7">
        <w:rPr>
          <w:rStyle w:val="EndnoteReference"/>
        </w:rPr>
        <w:endnoteReference w:id="30"/>
      </w:r>
      <w:r w:rsidR="00601A63" w:rsidRPr="00984C9C">
        <w:t>.</w:t>
      </w:r>
    </w:p>
    <w:p w14:paraId="647CEB3A" w14:textId="5510945C" w:rsidR="00571998" w:rsidRPr="00984C9C" w:rsidRDefault="00571998" w:rsidP="00014A9F">
      <w:pPr>
        <w:pStyle w:val="ListParagraph"/>
        <w:numPr>
          <w:ilvl w:val="0"/>
          <w:numId w:val="7"/>
        </w:numPr>
        <w:jc w:val="both"/>
      </w:pPr>
      <w:r w:rsidRPr="00984C9C">
        <w:rPr>
          <w:b/>
        </w:rPr>
        <w:t>2013:</w:t>
      </w:r>
      <w:r>
        <w:t xml:space="preserve"> Publication</w:t>
      </w:r>
      <w:r w:rsidR="00E82A5D">
        <w:t xml:space="preserve"> of the first ANZ</w:t>
      </w:r>
      <w:r w:rsidR="00E37BEC">
        <w:t>HFR Facilities Level Audit</w:t>
      </w:r>
      <w:r w:rsidR="00E271EC">
        <w:t>,</w:t>
      </w:r>
      <w:r w:rsidR="00E37BEC">
        <w:t xml:space="preserve"> which assessed and </w:t>
      </w:r>
      <w:r w:rsidR="00E37BEC" w:rsidRPr="00E37BEC">
        <w:t>document</w:t>
      </w:r>
      <w:r w:rsidR="00E37BEC">
        <w:t>ed</w:t>
      </w:r>
      <w:r w:rsidR="00E37BEC" w:rsidRPr="00E37BEC">
        <w:t xml:space="preserve"> what services, resources, policies, pr</w:t>
      </w:r>
      <w:r w:rsidR="00E37BEC">
        <w:t xml:space="preserve">otocols and practices </w:t>
      </w:r>
      <w:r w:rsidR="00E37BEC" w:rsidRPr="00E37BEC">
        <w:t>exist</w:t>
      </w:r>
      <w:r w:rsidR="00E37BEC">
        <w:t>ed</w:t>
      </w:r>
      <w:r w:rsidR="00E37BEC" w:rsidRPr="00E37BEC">
        <w:t xml:space="preserve"> across Australia and New Zealand</w:t>
      </w:r>
      <w:r w:rsidR="00E37BEC">
        <w:t xml:space="preserve"> hospitals</w:t>
      </w:r>
      <w:r w:rsidR="00E37BEC" w:rsidRPr="00E37BEC">
        <w:t xml:space="preserve"> in relation to hip fracture care</w:t>
      </w:r>
      <w:r w:rsidR="00823AB7">
        <w:rPr>
          <w:rStyle w:val="EndnoteReference"/>
        </w:rPr>
        <w:endnoteReference w:id="31"/>
      </w:r>
      <w:r w:rsidR="00E37BEC" w:rsidRPr="00E37BEC">
        <w:t>.</w:t>
      </w:r>
      <w:r w:rsidR="00E37BEC">
        <w:t xml:space="preserve"> </w:t>
      </w:r>
    </w:p>
    <w:p w14:paraId="27590CFA" w14:textId="67E04BAA" w:rsidR="00797A89" w:rsidRDefault="00797A89" w:rsidP="00014A9F">
      <w:pPr>
        <w:pStyle w:val="ListParagraph"/>
        <w:numPr>
          <w:ilvl w:val="0"/>
          <w:numId w:val="7"/>
        </w:numPr>
        <w:jc w:val="both"/>
      </w:pPr>
      <w:r>
        <w:rPr>
          <w:b/>
        </w:rPr>
        <w:t>2014:</w:t>
      </w:r>
      <w:r>
        <w:t xml:space="preserve"> Publication of the Australian and New Zealand Guideline for Hip Fracture Care</w:t>
      </w:r>
      <w:bookmarkStart w:id="8" w:name="_Ref18066226"/>
      <w:r w:rsidR="00823AB7">
        <w:rPr>
          <w:rStyle w:val="EndnoteReference"/>
        </w:rPr>
        <w:endnoteReference w:id="32"/>
      </w:r>
      <w:bookmarkEnd w:id="8"/>
      <w:r>
        <w:t>.</w:t>
      </w:r>
      <w:r w:rsidR="00E82A5D">
        <w:t xml:space="preserve"> Publication of the second ANZ</w:t>
      </w:r>
      <w:r w:rsidR="00E37BEC">
        <w:t>HFR Facilities Level Audit</w:t>
      </w:r>
      <w:r w:rsidR="00823AB7">
        <w:rPr>
          <w:rStyle w:val="EndnoteReference"/>
        </w:rPr>
        <w:endnoteReference w:id="33"/>
      </w:r>
      <w:r w:rsidR="00E37BEC">
        <w:t>. Ongoing implementation of FLS.</w:t>
      </w:r>
    </w:p>
    <w:p w14:paraId="1E53A4CB" w14:textId="198BE6E2" w:rsidR="00797A89" w:rsidRDefault="00797A89" w:rsidP="00014A9F">
      <w:pPr>
        <w:pStyle w:val="ListParagraph"/>
        <w:numPr>
          <w:ilvl w:val="0"/>
          <w:numId w:val="7"/>
        </w:numPr>
        <w:jc w:val="both"/>
      </w:pPr>
      <w:r>
        <w:rPr>
          <w:b/>
        </w:rPr>
        <w:t>2015:</w:t>
      </w:r>
      <w:r>
        <w:t xml:space="preserve"> Development</w:t>
      </w:r>
      <w:r w:rsidR="006056B4">
        <w:t xml:space="preserve"> and roll out of the ANZHFR</w:t>
      </w:r>
      <w:r>
        <w:t xml:space="preserve"> in both countries.</w:t>
      </w:r>
      <w:r w:rsidR="00E82A5D">
        <w:t xml:space="preserve"> Publication of the third ANZ</w:t>
      </w:r>
      <w:r w:rsidR="00E37BEC">
        <w:t>HFR Facilities Level Audit</w:t>
      </w:r>
      <w:r w:rsidR="00823AB7">
        <w:rPr>
          <w:rStyle w:val="EndnoteReference"/>
        </w:rPr>
        <w:endnoteReference w:id="34"/>
      </w:r>
      <w:r w:rsidR="00E37BEC">
        <w:t xml:space="preserve">. </w:t>
      </w:r>
    </w:p>
    <w:p w14:paraId="09E5CEA6" w14:textId="0D22C66C" w:rsidR="00C26D63" w:rsidRDefault="00797A89" w:rsidP="00014A9F">
      <w:pPr>
        <w:pStyle w:val="ListParagraph"/>
        <w:numPr>
          <w:ilvl w:val="0"/>
          <w:numId w:val="7"/>
        </w:numPr>
        <w:jc w:val="both"/>
      </w:pPr>
      <w:r>
        <w:rPr>
          <w:b/>
        </w:rPr>
        <w:t>2016:</w:t>
      </w:r>
      <w:r>
        <w:t xml:space="preserve"> Publication of the Hip Fracture Care Clinical Care Standard by the Australian Commission on Safety and Quality in Health Care in collaboration with the</w:t>
      </w:r>
      <w:bookmarkStart w:id="9" w:name="_Ref18066376"/>
      <w:r w:rsidR="000A16FB" w:rsidRPr="000A16FB">
        <w:t xml:space="preserve"> </w:t>
      </w:r>
      <w:r w:rsidR="000A16FB" w:rsidRPr="00984C9C">
        <w:t xml:space="preserve">Health Quality and Safety Commission New Zealand </w:t>
      </w:r>
      <w:r w:rsidR="00CE3209">
        <w:rPr>
          <w:rStyle w:val="EndnoteReference"/>
        </w:rPr>
        <w:endnoteReference w:id="35"/>
      </w:r>
      <w:bookmarkEnd w:id="9"/>
      <w:r>
        <w:t>. Publication of the</w:t>
      </w:r>
      <w:r w:rsidR="00E82A5D">
        <w:t xml:space="preserve"> ANZ</w:t>
      </w:r>
      <w:r w:rsidR="00E271EC">
        <w:t>HFR 2016 Annual Report</w:t>
      </w:r>
      <w:r w:rsidR="00CE3209">
        <w:rPr>
          <w:rStyle w:val="EndnoteReference"/>
        </w:rPr>
        <w:endnoteReference w:id="36"/>
      </w:r>
      <w:r w:rsidR="003D5786">
        <w:fldChar w:fldCharType="begin"/>
      </w:r>
      <w:r w:rsidR="009D0F08">
        <w:instrText xml:space="preserve"> ADDIN EN.CITE &lt;EndNote&gt;&lt;Cite&gt;&lt;Author&gt;Australian and New Zealand Hip Fracture Registry&lt;/Author&gt;&lt;Year&gt;2016&lt;/Year&gt;&lt;RecNum&gt;1440&lt;/RecNum&gt;&lt;DisplayText&gt;&lt;style face="superscript"&gt;39&lt;/style&gt;&lt;/DisplayText&gt;&lt;record&gt;&lt;rec-number&gt;1440&lt;/rec-number&gt;&lt;foreign-keys&gt;&lt;key app="EN" db-id="05parrrwowsrz8ex5wd52tvmzatt22dr25tp" timestamp="1474430612"&gt;1440&lt;/key&gt;&lt;/foreign-keys&gt;&lt;ref-type name="Report"&gt;27&lt;/ref-type&gt;&lt;contributors&gt;&lt;authors&gt;&lt;author&gt;Australian and New Zealand Hip Fracture Registry,&lt;/author&gt;&lt;/authors&gt;&lt;/contributors&gt;&lt;titles&gt;&lt;title&gt;2016 Annual Report&lt;/title&gt;&lt;/titles&gt;&lt;dates&gt;&lt;year&gt;2016&lt;/year&gt;&lt;/dates&gt;&lt;pub-location&gt;Sydney&lt;/pub-location&gt;&lt;urls&gt;&lt;/urls&gt;&lt;/record&gt;&lt;/Cite&gt;&lt;/EndNote&gt;</w:instrText>
      </w:r>
      <w:r w:rsidR="003D5786">
        <w:fldChar w:fldCharType="end"/>
      </w:r>
      <w:r w:rsidR="00E271EC">
        <w:t>, which included the</w:t>
      </w:r>
      <w:r>
        <w:t xml:space="preserve"> </w:t>
      </w:r>
      <w:r w:rsidR="00E82A5D">
        <w:t>first ANZ</w:t>
      </w:r>
      <w:r w:rsidR="00E37BEC">
        <w:t>HFR Patient</w:t>
      </w:r>
      <w:r w:rsidR="00E82A5D">
        <w:t xml:space="preserve"> Level Audit and the fourth ANZ</w:t>
      </w:r>
      <w:r w:rsidR="00E37BEC">
        <w:t xml:space="preserve">HFR Facilities Level Audit. </w:t>
      </w:r>
    </w:p>
    <w:p w14:paraId="5C1111CD" w14:textId="23B6B9B6" w:rsidR="00531A8D" w:rsidRPr="001A349D" w:rsidRDefault="00531A8D" w:rsidP="00014A9F">
      <w:pPr>
        <w:pStyle w:val="ListParagraph"/>
        <w:numPr>
          <w:ilvl w:val="0"/>
          <w:numId w:val="7"/>
        </w:numPr>
        <w:jc w:val="both"/>
      </w:pPr>
      <w:r>
        <w:rPr>
          <w:b/>
        </w:rPr>
        <w:t>2017:</w:t>
      </w:r>
      <w:r w:rsidR="001A349D">
        <w:rPr>
          <w:b/>
        </w:rPr>
        <w:t xml:space="preserve"> </w:t>
      </w:r>
      <w:r w:rsidR="001A349D">
        <w:rPr>
          <w:lang w:val="en-GB"/>
        </w:rPr>
        <w:t>Publication of the ANZHFR Annual Report</w:t>
      </w:r>
      <w:r w:rsidR="00CE3209">
        <w:rPr>
          <w:rStyle w:val="EndnoteReference"/>
          <w:lang w:val="en-GB"/>
        </w:rPr>
        <w:endnoteReference w:id="37"/>
      </w:r>
      <w:r w:rsidR="001A349D">
        <w:rPr>
          <w:lang w:val="en-GB"/>
        </w:rPr>
        <w:t>, which included the second ANZHFR Patient Level Audit and the fifth ANZHFR Facility Level Audit. In October 2017, ANZHFR was awarded the 2017 Health Services Research prize at the Research Australia Health and Medical Research Awards</w:t>
      </w:r>
      <w:r w:rsidR="007E69BE">
        <w:rPr>
          <w:lang w:val="en-GB"/>
        </w:rPr>
        <w:t>.</w:t>
      </w:r>
    </w:p>
    <w:p w14:paraId="33FF32F1" w14:textId="77777777" w:rsidR="007E69BE" w:rsidRPr="008A3F4F" w:rsidRDefault="001A349D" w:rsidP="00014A9F">
      <w:pPr>
        <w:pStyle w:val="ListParagraph"/>
        <w:numPr>
          <w:ilvl w:val="0"/>
          <w:numId w:val="7"/>
        </w:numPr>
        <w:jc w:val="both"/>
      </w:pPr>
      <w:r>
        <w:rPr>
          <w:b/>
        </w:rPr>
        <w:t>2018:</w:t>
      </w:r>
      <w:r>
        <w:t xml:space="preserve"> </w:t>
      </w:r>
      <w:r>
        <w:rPr>
          <w:lang w:val="en-GB"/>
        </w:rPr>
        <w:t>Publication of the ANZHFR Annual Report</w:t>
      </w:r>
      <w:r w:rsidR="00365F82">
        <w:rPr>
          <w:rStyle w:val="EndnoteReference"/>
          <w:lang w:val="en-GB"/>
        </w:rPr>
        <w:endnoteReference w:id="38"/>
      </w:r>
      <w:r>
        <w:rPr>
          <w:lang w:val="en-GB"/>
        </w:rPr>
        <w:t>, which included the third ANZHFR Patient Level Audit, the sixth ANZHFR Facility Level Audit and the first Supplementary Report of Australian States and Territories</w:t>
      </w:r>
      <w:r w:rsidR="00365F82">
        <w:rPr>
          <w:rStyle w:val="EndnoteReference"/>
          <w:lang w:val="en-GB"/>
        </w:rPr>
        <w:endnoteReference w:id="39"/>
      </w:r>
      <w:r>
        <w:rPr>
          <w:lang w:val="en-GB"/>
        </w:rPr>
        <w:t>.</w:t>
      </w:r>
    </w:p>
    <w:p w14:paraId="4BC91B82" w14:textId="55B00385" w:rsidR="001A349D" w:rsidRPr="004E1BCB" w:rsidRDefault="007E69BE" w:rsidP="00014A9F">
      <w:pPr>
        <w:pStyle w:val="ListParagraph"/>
        <w:numPr>
          <w:ilvl w:val="0"/>
          <w:numId w:val="7"/>
        </w:numPr>
        <w:spacing w:after="0"/>
        <w:ind w:left="714" w:hanging="357"/>
        <w:jc w:val="both"/>
      </w:pPr>
      <w:r w:rsidRPr="006056B4">
        <w:rPr>
          <w:b/>
          <w:lang w:val="en-GB"/>
        </w:rPr>
        <w:t>2019</w:t>
      </w:r>
      <w:r>
        <w:rPr>
          <w:lang w:val="en-GB"/>
        </w:rPr>
        <w:t>: Publication of the ANZHFR Annual Report</w:t>
      </w:r>
      <w:bookmarkStart w:id="10" w:name="_Ref18321315"/>
      <w:r w:rsidR="00EF74F6">
        <w:rPr>
          <w:rStyle w:val="EndnoteReference"/>
          <w:lang w:val="en-GB"/>
        </w:rPr>
        <w:endnoteReference w:id="40"/>
      </w:r>
      <w:bookmarkEnd w:id="10"/>
      <w:r>
        <w:rPr>
          <w:lang w:val="en-GB"/>
        </w:rPr>
        <w:t>, including the</w:t>
      </w:r>
      <w:r w:rsidR="00EF74F6">
        <w:rPr>
          <w:lang w:val="en-GB"/>
        </w:rPr>
        <w:t xml:space="preserve"> fourth</w:t>
      </w:r>
      <w:r>
        <w:rPr>
          <w:lang w:val="en-GB"/>
        </w:rPr>
        <w:t xml:space="preserve"> </w:t>
      </w:r>
      <w:r w:rsidR="00E0113F">
        <w:rPr>
          <w:lang w:val="en-GB"/>
        </w:rPr>
        <w:t xml:space="preserve">ANZHFR </w:t>
      </w:r>
      <w:r w:rsidR="00EF74F6">
        <w:rPr>
          <w:lang w:val="en-GB"/>
        </w:rPr>
        <w:t>P</w:t>
      </w:r>
      <w:r w:rsidR="00E0113F">
        <w:rPr>
          <w:lang w:val="en-GB"/>
        </w:rPr>
        <w:t>atient Level Audit</w:t>
      </w:r>
      <w:r>
        <w:rPr>
          <w:lang w:val="en-GB"/>
        </w:rPr>
        <w:t xml:space="preserve">, </w:t>
      </w:r>
      <w:r w:rsidR="00E0113F">
        <w:rPr>
          <w:lang w:val="en-GB"/>
        </w:rPr>
        <w:t xml:space="preserve">the </w:t>
      </w:r>
      <w:r w:rsidR="00EF74F6">
        <w:rPr>
          <w:lang w:val="en-GB"/>
        </w:rPr>
        <w:t>seventh</w:t>
      </w:r>
      <w:r w:rsidR="00A20AFA">
        <w:rPr>
          <w:lang w:val="en-GB"/>
        </w:rPr>
        <w:t xml:space="preserve"> ANZHFR </w:t>
      </w:r>
      <w:r>
        <w:rPr>
          <w:lang w:val="en-GB"/>
        </w:rPr>
        <w:t xml:space="preserve">Facility </w:t>
      </w:r>
      <w:r w:rsidR="00EF74F6">
        <w:rPr>
          <w:lang w:val="en-GB"/>
        </w:rPr>
        <w:t>L</w:t>
      </w:r>
      <w:r w:rsidR="00A20AFA">
        <w:rPr>
          <w:lang w:val="en-GB"/>
        </w:rPr>
        <w:t>evel Audit and second Supplementary R</w:t>
      </w:r>
      <w:r>
        <w:rPr>
          <w:lang w:val="en-GB"/>
        </w:rPr>
        <w:t>eport</w:t>
      </w:r>
      <w:r w:rsidR="00A20AFA">
        <w:rPr>
          <w:lang w:val="en-GB"/>
        </w:rPr>
        <w:t xml:space="preserve"> of Australian States and Territories</w:t>
      </w:r>
      <w:r>
        <w:rPr>
          <w:lang w:val="en-GB"/>
        </w:rPr>
        <w:t>.</w:t>
      </w:r>
      <w:r w:rsidR="00EF74F6">
        <w:rPr>
          <w:rStyle w:val="EndnoteReference"/>
          <w:lang w:val="en-GB"/>
        </w:rPr>
        <w:endnoteReference w:id="41"/>
      </w:r>
      <w:r>
        <w:rPr>
          <w:lang w:val="en-GB"/>
        </w:rPr>
        <w:t xml:space="preserve"> Publication o</w:t>
      </w:r>
      <w:r w:rsidR="00DA6882">
        <w:rPr>
          <w:lang w:val="en-GB"/>
        </w:rPr>
        <w:t>f the ANZHFR Hip Fracture C</w:t>
      </w:r>
      <w:r>
        <w:rPr>
          <w:lang w:val="en-GB"/>
        </w:rPr>
        <w:t>are guide to support hospitals to transition patients from acute care.</w:t>
      </w:r>
    </w:p>
    <w:p w14:paraId="50D37C30" w14:textId="77777777" w:rsidR="004E1BCB" w:rsidRDefault="004E1BCB" w:rsidP="004E1BCB">
      <w:pPr>
        <w:spacing w:after="0"/>
        <w:ind w:left="357"/>
        <w:jc w:val="both"/>
      </w:pPr>
    </w:p>
    <w:p w14:paraId="2AFF7B78" w14:textId="09A0B9A1" w:rsidR="00CE2EF6" w:rsidRDefault="0052215C" w:rsidP="004E1BCB">
      <w:pPr>
        <w:spacing w:after="0"/>
      </w:pPr>
      <w:r>
        <w:t xml:space="preserve">As of </w:t>
      </w:r>
      <w:r w:rsidR="007E69BE">
        <w:t>2019, 86</w:t>
      </w:r>
      <w:r w:rsidRPr="0052215C">
        <w:t xml:space="preserve"> </w:t>
      </w:r>
      <w:r w:rsidR="007A4480" w:rsidRPr="0052215C">
        <w:t>hospitals in Australia</w:t>
      </w:r>
      <w:r w:rsidR="001A349D">
        <w:t xml:space="preserve"> and New Zealand </w:t>
      </w:r>
      <w:r w:rsidR="00BF6659" w:rsidRPr="0052215C">
        <w:t xml:space="preserve">are </w:t>
      </w:r>
      <w:r w:rsidR="007E69BE">
        <w:t>approved to contribute</w:t>
      </w:r>
      <w:r w:rsidR="00A35689">
        <w:t xml:space="preserve"> patient level data to </w:t>
      </w:r>
      <w:r w:rsidR="00E82A5D">
        <w:t>the ANZ</w:t>
      </w:r>
      <w:r w:rsidR="00BF6659" w:rsidRPr="0052215C">
        <w:t>HFR.</w:t>
      </w:r>
    </w:p>
    <w:p w14:paraId="7B0F412C" w14:textId="77777777" w:rsidR="006043E3" w:rsidRDefault="006043E3">
      <w:pPr>
        <w:rPr>
          <w:rFonts w:asciiTheme="majorHAnsi" w:eastAsiaTheme="majorEastAsia" w:hAnsiTheme="majorHAnsi" w:cstheme="majorBidi"/>
          <w:color w:val="2E74B5" w:themeColor="accent1" w:themeShade="BF"/>
          <w:sz w:val="32"/>
          <w:szCs w:val="32"/>
        </w:rPr>
      </w:pPr>
      <w:r>
        <w:br w:type="page"/>
      </w:r>
    </w:p>
    <w:p w14:paraId="6B11F654" w14:textId="357C427B" w:rsidR="004828E1" w:rsidRPr="00CE2EF6" w:rsidRDefault="004828E1" w:rsidP="00CE2EF6">
      <w:pPr>
        <w:pStyle w:val="Heading1"/>
        <w:jc w:val="both"/>
      </w:pPr>
      <w:bookmarkStart w:id="11" w:name="_Toc21443857"/>
      <w:r w:rsidRPr="00CE2EF6">
        <w:t>Australian and New Zealand Hip Fracture Care Clinical Care Standard</w:t>
      </w:r>
      <w:bookmarkEnd w:id="11"/>
    </w:p>
    <w:p w14:paraId="2B23F64B" w14:textId="77777777" w:rsidR="004828E1" w:rsidRDefault="004828E1" w:rsidP="004E1BCB">
      <w:pPr>
        <w:spacing w:after="0"/>
        <w:jc w:val="both"/>
      </w:pPr>
      <w:r>
        <w:t>The Clinical Care Standard is comprised of 7 Quality Statements:</w:t>
      </w:r>
    </w:p>
    <w:p w14:paraId="1DAC65CD" w14:textId="08DA72B5" w:rsidR="004828E1" w:rsidRPr="008A3F4F" w:rsidRDefault="00CD7818" w:rsidP="00014A9F">
      <w:pPr>
        <w:pStyle w:val="ListParagraph"/>
        <w:numPr>
          <w:ilvl w:val="0"/>
          <w:numId w:val="8"/>
        </w:numPr>
        <w:jc w:val="both"/>
        <w:rPr>
          <w:i/>
        </w:rPr>
      </w:pPr>
      <w:r w:rsidRPr="008A3F4F">
        <w:rPr>
          <w:i/>
        </w:rPr>
        <w:t>“</w:t>
      </w:r>
      <w:r w:rsidR="004828E1" w:rsidRPr="008A3F4F">
        <w:rPr>
          <w:b/>
          <w:i/>
        </w:rPr>
        <w:t>Care at presentation:</w:t>
      </w:r>
      <w:r w:rsidR="004828E1" w:rsidRPr="008A3F4F">
        <w:rPr>
          <w:i/>
        </w:rPr>
        <w:t xml:space="preserve"> A patient presenting to hospital with a suspected hip fracture receives care guided by timely assessment and management of medical conditions, including diagnostic imaging, pain assessment and cognitive assessment.</w:t>
      </w:r>
    </w:p>
    <w:p w14:paraId="79CA390B" w14:textId="77777777" w:rsidR="004828E1" w:rsidRPr="008A3F4F" w:rsidRDefault="004828E1" w:rsidP="00014A9F">
      <w:pPr>
        <w:pStyle w:val="ListParagraph"/>
        <w:numPr>
          <w:ilvl w:val="0"/>
          <w:numId w:val="8"/>
        </w:numPr>
        <w:jc w:val="both"/>
        <w:rPr>
          <w:i/>
        </w:rPr>
      </w:pPr>
      <w:r w:rsidRPr="008A3F4F">
        <w:rPr>
          <w:b/>
          <w:i/>
        </w:rPr>
        <w:t>Pain management:</w:t>
      </w:r>
      <w:r w:rsidRPr="008A3F4F">
        <w:rPr>
          <w:i/>
        </w:rPr>
        <w:t xml:space="preserve"> A patient with a hip fracture is assessed for pain at the time of presentation and regularly throughout their hospital stay, and receives pain management including the use of multimodal analgesia, if clinically appropriate.</w:t>
      </w:r>
    </w:p>
    <w:p w14:paraId="16C3EDEE" w14:textId="67334D7D" w:rsidR="003714AC" w:rsidRPr="00CD7818" w:rsidRDefault="004828E1" w:rsidP="00014A9F">
      <w:pPr>
        <w:pStyle w:val="ListParagraph"/>
        <w:numPr>
          <w:ilvl w:val="0"/>
          <w:numId w:val="8"/>
        </w:numPr>
        <w:jc w:val="both"/>
        <w:rPr>
          <w:i/>
        </w:rPr>
      </w:pPr>
      <w:r w:rsidRPr="008A3F4F">
        <w:rPr>
          <w:b/>
          <w:i/>
        </w:rPr>
        <w:t>Orthogeriatric model of care:</w:t>
      </w:r>
      <w:r w:rsidRPr="008A3F4F">
        <w:rPr>
          <w:i/>
        </w:rPr>
        <w:t xml:space="preserve"> A patient with a hip fracture is offered treatment based on an orthogeriatric model of care as defined in the </w:t>
      </w:r>
      <w:r w:rsidRPr="00CD7818">
        <w:rPr>
          <w:i/>
        </w:rPr>
        <w:t>Australian and New Zealand Guideline for Hip Fracture Care.</w:t>
      </w:r>
    </w:p>
    <w:p w14:paraId="7C947DCD" w14:textId="77777777" w:rsidR="007E549B" w:rsidRPr="008A3F4F" w:rsidRDefault="007E549B" w:rsidP="00014A9F">
      <w:pPr>
        <w:pStyle w:val="ListParagraph"/>
        <w:numPr>
          <w:ilvl w:val="0"/>
          <w:numId w:val="8"/>
        </w:numPr>
        <w:jc w:val="both"/>
        <w:rPr>
          <w:i/>
        </w:rPr>
      </w:pPr>
      <w:r w:rsidRPr="008A3F4F">
        <w:rPr>
          <w:b/>
          <w:i/>
        </w:rPr>
        <w:t>Timing of surgery:</w:t>
      </w:r>
      <w:r w:rsidRPr="008A3F4F">
        <w:rPr>
          <w:i/>
        </w:rPr>
        <w:t xml:space="preserve"> A patient presenting to hospital with a hip fracture, or sustaining a hip fracture while in hospital, receives surgery within 48 hours, if no clinical contraindication exists and the patient prefers surgery.</w:t>
      </w:r>
    </w:p>
    <w:p w14:paraId="67AB24E5" w14:textId="77777777" w:rsidR="007E549B" w:rsidRPr="008A3F4F" w:rsidRDefault="007E549B" w:rsidP="00014A9F">
      <w:pPr>
        <w:pStyle w:val="ListParagraph"/>
        <w:numPr>
          <w:ilvl w:val="0"/>
          <w:numId w:val="8"/>
        </w:numPr>
        <w:jc w:val="both"/>
        <w:rPr>
          <w:i/>
        </w:rPr>
      </w:pPr>
      <w:r w:rsidRPr="008A3F4F">
        <w:rPr>
          <w:b/>
          <w:i/>
        </w:rPr>
        <w:t>Mobilisation and weight-bearing:</w:t>
      </w:r>
      <w:r w:rsidRPr="008A3F4F">
        <w:rPr>
          <w:i/>
        </w:rPr>
        <w:t xml:space="preserve"> A patient with a hip fracture is offered mobilisation without restrictions on weight-bearing the day after surgery and at least once a day thereafter, depending on the patient’s clinical condition and agreed goals of care.</w:t>
      </w:r>
    </w:p>
    <w:p w14:paraId="2BB36180" w14:textId="77777777" w:rsidR="007E549B" w:rsidRPr="008A3F4F" w:rsidRDefault="007E549B" w:rsidP="00014A9F">
      <w:pPr>
        <w:pStyle w:val="ListParagraph"/>
        <w:numPr>
          <w:ilvl w:val="0"/>
          <w:numId w:val="8"/>
        </w:numPr>
        <w:jc w:val="both"/>
        <w:rPr>
          <w:i/>
        </w:rPr>
      </w:pPr>
      <w:r w:rsidRPr="008A3F4F">
        <w:rPr>
          <w:b/>
          <w:i/>
        </w:rPr>
        <w:t>Minimising risk of another fracture:</w:t>
      </w:r>
      <w:r w:rsidRPr="008A3F4F">
        <w:rPr>
          <w:i/>
        </w:rPr>
        <w:t xml:space="preserve"> Before a patient with a hip fracture leaves hospital, they are offered a falls and bone health assessment (i.e. osteoporosis), and a management plan based on this assessment, to reduce the risk of another fracture.</w:t>
      </w:r>
    </w:p>
    <w:p w14:paraId="1BB02C17" w14:textId="365BE845" w:rsidR="007E549B" w:rsidRPr="008A3F4F" w:rsidRDefault="007E549B" w:rsidP="00014A9F">
      <w:pPr>
        <w:pStyle w:val="ListParagraph"/>
        <w:numPr>
          <w:ilvl w:val="0"/>
          <w:numId w:val="8"/>
        </w:numPr>
        <w:spacing w:after="0"/>
        <w:ind w:left="714" w:hanging="357"/>
        <w:jc w:val="both"/>
        <w:rPr>
          <w:i/>
        </w:rPr>
      </w:pPr>
      <w:r w:rsidRPr="008A3F4F">
        <w:rPr>
          <w:b/>
          <w:i/>
        </w:rPr>
        <w:t>Transition from hospital care:</w:t>
      </w:r>
      <w:r w:rsidRPr="008A3F4F">
        <w:rPr>
          <w:i/>
        </w:rPr>
        <w:t xml:space="preserve"> Before a patient leaves hospital, the patient and their carer are involved in the development of an individualised care plan that describes the patient’s ongoing care and goals of care after they leave hospital. The plan is developed collaboratively with the patient’s general practitioner. The plan identifies any changes in medicines, any new medicines, and equipment and contact details for rehabilitation services they may require. It also describes mobilisation activities, wound care and function post-injury. This plan is provided to the patient before discharge and their general practitioner and other ongoing clinical providers within 48 hours of discharge.</w:t>
      </w:r>
      <w:r w:rsidR="00CD7818">
        <w:rPr>
          <w:i/>
        </w:rPr>
        <w:t>”</w:t>
      </w:r>
    </w:p>
    <w:p w14:paraId="0A492D81" w14:textId="77777777" w:rsidR="004E1BCB" w:rsidRDefault="004E1BCB" w:rsidP="004E1BCB">
      <w:pPr>
        <w:spacing w:after="0"/>
        <w:jc w:val="both"/>
      </w:pPr>
    </w:p>
    <w:p w14:paraId="509837DC" w14:textId="1E3A719E" w:rsidR="00CF1EB6" w:rsidRPr="008A3F4F" w:rsidRDefault="00CF1EB6" w:rsidP="004E1BCB">
      <w:pPr>
        <w:spacing w:after="0"/>
        <w:jc w:val="both"/>
        <w:rPr>
          <w:i/>
        </w:rPr>
      </w:pPr>
      <w:r>
        <w:t>The orthogeriatric model of care is defined in the ANZ Guideline</w:t>
      </w:r>
      <w:r w:rsidR="000305B0">
        <w:t xml:space="preserve"> for Hip Fracture Care</w:t>
      </w:r>
      <w:r>
        <w:t xml:space="preserve"> as follows</w:t>
      </w:r>
      <w:r w:rsidR="00365F82">
        <w:fldChar w:fldCharType="begin"/>
      </w:r>
      <w:r w:rsidR="00365F82">
        <w:instrText xml:space="preserve"> NOTEREF _Ref18066226 \f \h </w:instrText>
      </w:r>
      <w:r w:rsidR="00365F82">
        <w:fldChar w:fldCharType="separate"/>
      </w:r>
      <w:r w:rsidR="008B7C65" w:rsidRPr="008B7C65">
        <w:rPr>
          <w:rStyle w:val="EndnoteReference"/>
        </w:rPr>
        <w:t>32</w:t>
      </w:r>
      <w:r w:rsidR="00365F82">
        <w:fldChar w:fldCharType="end"/>
      </w:r>
      <w:r>
        <w:t xml:space="preserve">. </w:t>
      </w:r>
      <w:r w:rsidR="004F6580">
        <w:t>“</w:t>
      </w:r>
      <w:r w:rsidRPr="008A3F4F">
        <w:rPr>
          <w:i/>
        </w:rPr>
        <w:t>From admission, offer patients a formal, acute orthogeriatric service that includes all of the following:</w:t>
      </w:r>
    </w:p>
    <w:p w14:paraId="7AA3D407" w14:textId="4085D3AB" w:rsidR="00CF1EB6" w:rsidRPr="008A3F4F" w:rsidRDefault="00CF1EB6" w:rsidP="00014A9F">
      <w:pPr>
        <w:pStyle w:val="ListParagraph"/>
        <w:numPr>
          <w:ilvl w:val="0"/>
          <w:numId w:val="9"/>
        </w:numPr>
        <w:jc w:val="both"/>
        <w:rPr>
          <w:i/>
        </w:rPr>
      </w:pPr>
      <w:r w:rsidRPr="008A3F4F">
        <w:rPr>
          <w:i/>
        </w:rPr>
        <w:t>Regul</w:t>
      </w:r>
      <w:r w:rsidR="00EB6BA0">
        <w:rPr>
          <w:i/>
        </w:rPr>
        <w:t>ar orthogeriatrician assessment;</w:t>
      </w:r>
    </w:p>
    <w:p w14:paraId="7A09F9F7" w14:textId="2C4B5BE6" w:rsidR="00CF1EB6" w:rsidRPr="008A3F4F" w:rsidRDefault="00CF1EB6" w:rsidP="00014A9F">
      <w:pPr>
        <w:pStyle w:val="ListParagraph"/>
        <w:numPr>
          <w:ilvl w:val="0"/>
          <w:numId w:val="9"/>
        </w:numPr>
        <w:jc w:val="both"/>
        <w:rPr>
          <w:i/>
        </w:rPr>
      </w:pPr>
      <w:r w:rsidRPr="008A3F4F">
        <w:rPr>
          <w:i/>
        </w:rPr>
        <w:t>Rapid opti</w:t>
      </w:r>
      <w:r w:rsidR="00EB6BA0">
        <w:rPr>
          <w:i/>
        </w:rPr>
        <w:t>misation of fitness for surgery;</w:t>
      </w:r>
    </w:p>
    <w:p w14:paraId="6BC76872" w14:textId="1E940D6D" w:rsidR="00CF1EB6" w:rsidRPr="008A3F4F" w:rsidRDefault="00CF1EB6" w:rsidP="00014A9F">
      <w:pPr>
        <w:pStyle w:val="ListParagraph"/>
        <w:numPr>
          <w:ilvl w:val="0"/>
          <w:numId w:val="9"/>
        </w:numPr>
        <w:jc w:val="both"/>
        <w:rPr>
          <w:i/>
        </w:rPr>
      </w:pPr>
      <w:r w:rsidRPr="008A3F4F">
        <w:rPr>
          <w:i/>
        </w:rPr>
        <w:t>Early identification of individual goals for multidisciplinary rehabilitation to recover mobility and independence, and to facilitate return to pre</w:t>
      </w:r>
      <w:r w:rsidR="00D373D5" w:rsidRPr="008A3F4F">
        <w:rPr>
          <w:i/>
        </w:rPr>
        <w:t>-</w:t>
      </w:r>
      <w:r w:rsidRPr="008A3F4F">
        <w:rPr>
          <w:i/>
        </w:rPr>
        <w:t>fracture re</w:t>
      </w:r>
      <w:r w:rsidR="00EB6BA0">
        <w:rPr>
          <w:i/>
        </w:rPr>
        <w:t>sidence and long-term wellbeing;</w:t>
      </w:r>
    </w:p>
    <w:p w14:paraId="5BFED705" w14:textId="6D1BD29B" w:rsidR="00CF1EB6" w:rsidRPr="008A3F4F" w:rsidRDefault="00CF1EB6" w:rsidP="00014A9F">
      <w:pPr>
        <w:pStyle w:val="ListParagraph"/>
        <w:numPr>
          <w:ilvl w:val="0"/>
          <w:numId w:val="9"/>
        </w:numPr>
        <w:jc w:val="both"/>
        <w:rPr>
          <w:i/>
        </w:rPr>
      </w:pPr>
      <w:r w:rsidRPr="008A3F4F">
        <w:rPr>
          <w:i/>
        </w:rPr>
        <w:t>Early identification of most appropriate service to deliver reha</w:t>
      </w:r>
      <w:r w:rsidR="00EB6BA0">
        <w:rPr>
          <w:i/>
        </w:rPr>
        <w:t>bilitation;</w:t>
      </w:r>
    </w:p>
    <w:p w14:paraId="5A8BD386" w14:textId="641872E8" w:rsidR="00C26D63" w:rsidRPr="008A3F4F" w:rsidRDefault="00CF1EB6" w:rsidP="00014A9F">
      <w:pPr>
        <w:pStyle w:val="ListParagraph"/>
        <w:numPr>
          <w:ilvl w:val="0"/>
          <w:numId w:val="9"/>
        </w:numPr>
        <w:spacing w:after="0"/>
        <w:ind w:left="714" w:hanging="357"/>
        <w:jc w:val="both"/>
        <w:rPr>
          <w:i/>
        </w:rPr>
      </w:pPr>
      <w:r w:rsidRPr="008A3F4F">
        <w:rPr>
          <w:i/>
        </w:rPr>
        <w:t>Continued, coordinated, orthogeriatric and multidisciplinary review and discharge planning liaison or integration with related services, including falls prevention, secondary fracture prevention, mental health, cultural services, primary care, community support services and carer support services.</w:t>
      </w:r>
      <w:r w:rsidR="004F6580" w:rsidRPr="008A3F4F">
        <w:rPr>
          <w:i/>
        </w:rPr>
        <w:t>”</w:t>
      </w:r>
    </w:p>
    <w:p w14:paraId="0DE39088" w14:textId="77777777" w:rsidR="004E1BCB" w:rsidRDefault="004E1BCB" w:rsidP="004E1BCB">
      <w:pPr>
        <w:spacing w:after="0"/>
        <w:jc w:val="both"/>
      </w:pPr>
    </w:p>
    <w:p w14:paraId="413EAD6C" w14:textId="111CB7B6" w:rsidR="00CF1EB6" w:rsidRDefault="00CF1EB6" w:rsidP="004E1BCB">
      <w:pPr>
        <w:spacing w:after="0"/>
        <w:jc w:val="both"/>
      </w:pPr>
      <w:r>
        <w:t xml:space="preserve">The Clinical Care Standard comments on the meaning of Quality Statement 3 </w:t>
      </w:r>
      <w:r w:rsidR="008E4124">
        <w:t>for</w:t>
      </w:r>
      <w:r>
        <w:t xml:space="preserve"> health services</w:t>
      </w:r>
      <w:r w:rsidR="00640A3B">
        <w:fldChar w:fldCharType="begin"/>
      </w:r>
      <w:r w:rsidR="00640A3B">
        <w:instrText xml:space="preserve"> NOTEREF _Ref18066376 \f \h </w:instrText>
      </w:r>
      <w:r w:rsidR="00640A3B">
        <w:fldChar w:fldCharType="separate"/>
      </w:r>
      <w:r w:rsidR="008B7C65" w:rsidRPr="008B7C65">
        <w:rPr>
          <w:rStyle w:val="EndnoteReference"/>
        </w:rPr>
        <w:t>35</w:t>
      </w:r>
      <w:r w:rsidR="00640A3B">
        <w:fldChar w:fldCharType="end"/>
      </w:r>
      <w:r>
        <w:t>:</w:t>
      </w:r>
    </w:p>
    <w:p w14:paraId="0F95F6A1" w14:textId="791F5DE1" w:rsidR="004E1BCB" w:rsidRDefault="00FB31FB" w:rsidP="00014A9F">
      <w:pPr>
        <w:pStyle w:val="ListParagraph"/>
        <w:numPr>
          <w:ilvl w:val="0"/>
          <w:numId w:val="10"/>
        </w:numPr>
        <w:jc w:val="both"/>
        <w:rPr>
          <w:i/>
        </w:rPr>
      </w:pPr>
      <w:r>
        <w:t>“</w:t>
      </w:r>
      <w:r w:rsidR="00CF1EB6" w:rsidRPr="00FB31FB">
        <w:rPr>
          <w:i/>
        </w:rPr>
        <w:t>For hospitals that do not have a geriatric medicine service available, care should be undertaken by an orthopaedic surgeon, an anaesthetist</w:t>
      </w:r>
      <w:r w:rsidR="007E69BE" w:rsidRPr="00FB31FB">
        <w:rPr>
          <w:i/>
        </w:rPr>
        <w:t>,</w:t>
      </w:r>
      <w:r w:rsidR="008E4124" w:rsidRPr="00FB31FB">
        <w:rPr>
          <w:i/>
        </w:rPr>
        <w:t xml:space="preserve"> </w:t>
      </w:r>
      <w:r w:rsidR="00CF1EB6" w:rsidRPr="00FB31FB">
        <w:rPr>
          <w:i/>
        </w:rPr>
        <w:t>and a physician or</w:t>
      </w:r>
      <w:r w:rsidR="008E4124" w:rsidRPr="00FB31FB">
        <w:rPr>
          <w:i/>
        </w:rPr>
        <w:t xml:space="preserve"> </w:t>
      </w:r>
      <w:r w:rsidR="00CF1EB6" w:rsidRPr="00FB31FB">
        <w:rPr>
          <w:i/>
        </w:rPr>
        <w:t>if unavailable in rural and remote settings, another medical practitioner, using the orthogeriatric model of care.</w:t>
      </w:r>
      <w:r w:rsidRPr="00FB31FB">
        <w:rPr>
          <w:i/>
        </w:rPr>
        <w:t>”</w:t>
      </w:r>
    </w:p>
    <w:p w14:paraId="234FB69B" w14:textId="2EC8CEA0" w:rsidR="004828E1" w:rsidRPr="00CE2EF6" w:rsidRDefault="004828E1" w:rsidP="00CE2EF6">
      <w:pPr>
        <w:pStyle w:val="Heading1"/>
        <w:jc w:val="both"/>
      </w:pPr>
      <w:bookmarkStart w:id="12" w:name="_Toc21443858"/>
      <w:r w:rsidRPr="00CE2EF6">
        <w:t>Preparedness to participate in the ANZ</w:t>
      </w:r>
      <w:r w:rsidR="007E69BE" w:rsidRPr="00CE2EF6">
        <w:t xml:space="preserve">HFR </w:t>
      </w:r>
      <w:r w:rsidRPr="00CE2EF6">
        <w:t xml:space="preserve">at </w:t>
      </w:r>
      <w:r w:rsidRPr="00CE2EF6">
        <w:rPr>
          <w:color w:val="FF0000"/>
        </w:rPr>
        <w:t>[Insert name of hospital]</w:t>
      </w:r>
      <w:bookmarkEnd w:id="12"/>
    </w:p>
    <w:p w14:paraId="441D25DC" w14:textId="122369F5" w:rsidR="004828E1" w:rsidRDefault="00E82A5D" w:rsidP="004E1BCB">
      <w:pPr>
        <w:spacing w:after="0"/>
        <w:jc w:val="both"/>
      </w:pPr>
      <w:r>
        <w:t>The ANZ</w:t>
      </w:r>
      <w:r w:rsidR="004828E1">
        <w:t>HFR provides hospitals with an opportunity to benchmark the care they provide for hip fracture patients – in real time – against the av</w:t>
      </w:r>
      <w:r w:rsidR="00E25DAE">
        <w:t>erage performance in Australia</w:t>
      </w:r>
      <w:r w:rsidR="004828E1">
        <w:t xml:space="preserve"> and against the Australian and New Zealand Hip Fracture Care Clinical Care Standard</w:t>
      </w:r>
      <w:r w:rsidR="008E4124" w:rsidRPr="008A3F4F">
        <w:rPr>
          <w:vertAlign w:val="superscript"/>
        </w:rPr>
        <w:fldChar w:fldCharType="begin"/>
      </w:r>
      <w:r w:rsidR="008E4124" w:rsidRPr="008A3F4F">
        <w:rPr>
          <w:vertAlign w:val="superscript"/>
        </w:rPr>
        <w:instrText xml:space="preserve"> NOTEREF _Ref18066376 \h </w:instrText>
      </w:r>
      <w:r w:rsidR="008E4124">
        <w:rPr>
          <w:vertAlign w:val="superscript"/>
        </w:rPr>
        <w:instrText xml:space="preserve"> \* MERGEFORMAT </w:instrText>
      </w:r>
      <w:r w:rsidR="008E4124" w:rsidRPr="008A3F4F">
        <w:rPr>
          <w:vertAlign w:val="superscript"/>
        </w:rPr>
      </w:r>
      <w:r w:rsidR="008E4124" w:rsidRPr="008A3F4F">
        <w:rPr>
          <w:vertAlign w:val="superscript"/>
        </w:rPr>
        <w:fldChar w:fldCharType="separate"/>
      </w:r>
      <w:r w:rsidR="008B7C65">
        <w:rPr>
          <w:vertAlign w:val="superscript"/>
        </w:rPr>
        <w:t>35</w:t>
      </w:r>
      <w:r w:rsidR="008E4124" w:rsidRPr="008A3F4F">
        <w:rPr>
          <w:vertAlign w:val="superscript"/>
        </w:rPr>
        <w:fldChar w:fldCharType="end"/>
      </w:r>
      <w:r w:rsidR="004828E1">
        <w:t>.</w:t>
      </w:r>
    </w:p>
    <w:p w14:paraId="60BFA171" w14:textId="77777777" w:rsidR="004E1BCB" w:rsidRDefault="004E1BCB" w:rsidP="004E1BCB">
      <w:pPr>
        <w:spacing w:after="0"/>
        <w:jc w:val="both"/>
      </w:pPr>
    </w:p>
    <w:p w14:paraId="2D4242B0" w14:textId="27CA1891" w:rsidR="004828E1" w:rsidRDefault="004828E1" w:rsidP="004E1BCB">
      <w:pPr>
        <w:spacing w:after="0"/>
        <w:jc w:val="both"/>
      </w:pPr>
      <w:r>
        <w:t>This section of the business plan should describe the current level of prepare</w:t>
      </w:r>
      <w:r w:rsidR="00E82A5D">
        <w:t>dness to participate in the ANZ</w:t>
      </w:r>
      <w:r>
        <w:t xml:space="preserve">HFR. This could be informed by the hospital’s contribution to the </w:t>
      </w:r>
      <w:r w:rsidRPr="00473317">
        <w:t xml:space="preserve">recent </w:t>
      </w:r>
      <w:r w:rsidR="0083690C">
        <w:t>seven</w:t>
      </w:r>
      <w:r w:rsidR="00331729" w:rsidRPr="00473317">
        <w:t>th</w:t>
      </w:r>
      <w:r w:rsidR="00E82A5D">
        <w:t xml:space="preserve"> ANZ</w:t>
      </w:r>
      <w:r w:rsidRPr="00473317">
        <w:t xml:space="preserve">HFR Facilities Level </w:t>
      </w:r>
      <w:r w:rsidRPr="008952B7">
        <w:t>Audit</w:t>
      </w:r>
      <w:r w:rsidR="00CF3E63" w:rsidRPr="008A3F4F">
        <w:rPr>
          <w:vertAlign w:val="superscript"/>
        </w:rPr>
        <w:fldChar w:fldCharType="begin"/>
      </w:r>
      <w:r w:rsidR="00CF3E63" w:rsidRPr="008A3F4F">
        <w:rPr>
          <w:vertAlign w:val="superscript"/>
        </w:rPr>
        <w:instrText xml:space="preserve"> NOTEREF _Ref18321315 </w:instrText>
      </w:r>
      <w:r w:rsidR="008E4124">
        <w:rPr>
          <w:vertAlign w:val="superscript"/>
        </w:rPr>
        <w:instrText xml:space="preserve"> \* MERGEFORMAT </w:instrText>
      </w:r>
      <w:r w:rsidR="00CF3E63" w:rsidRPr="008A3F4F">
        <w:rPr>
          <w:vertAlign w:val="superscript"/>
        </w:rPr>
        <w:fldChar w:fldCharType="separate"/>
      </w:r>
      <w:r w:rsidR="008B7C65">
        <w:rPr>
          <w:vertAlign w:val="superscript"/>
        </w:rPr>
        <w:t>40</w:t>
      </w:r>
      <w:r w:rsidR="00CF3E63" w:rsidRPr="008A3F4F">
        <w:rPr>
          <w:vertAlign w:val="superscript"/>
        </w:rPr>
        <w:fldChar w:fldCharType="end"/>
      </w:r>
      <w:r w:rsidR="00043121" w:rsidRPr="008952B7">
        <w:t>.</w:t>
      </w:r>
      <w:r w:rsidR="001309E8">
        <w:t xml:space="preserve"> </w:t>
      </w:r>
      <w:r w:rsidR="00DA6882">
        <w:t xml:space="preserve">Participation in </w:t>
      </w:r>
      <w:r w:rsidR="001309E8">
        <w:t>the ANZHFR is described in Appendix 2. Additional information regarding how to get started with ANZHFR in your hospital is provided in Appendix 3</w:t>
      </w:r>
      <w:r w:rsidR="0026297A">
        <w:t xml:space="preserve"> which should be read with the ANZHFR User Guide</w:t>
      </w:r>
      <w:r w:rsidR="001309E8">
        <w:t>.</w:t>
      </w:r>
      <w:r w:rsidR="00884669">
        <w:t xml:space="preserve"> A sample business change tem</w:t>
      </w:r>
      <w:r w:rsidR="00AB47E6">
        <w:t>plate is included in Appendix 4, please check if your hospital has a preferred template.</w:t>
      </w:r>
    </w:p>
    <w:p w14:paraId="119E9CDA" w14:textId="77777777" w:rsidR="004E1BCB" w:rsidRDefault="004E1BCB" w:rsidP="004E1BCB">
      <w:pPr>
        <w:spacing w:after="0"/>
        <w:jc w:val="both"/>
      </w:pPr>
    </w:p>
    <w:p w14:paraId="620524A4" w14:textId="593CEEB6" w:rsidR="004828E1" w:rsidRDefault="00331729" w:rsidP="004E1BCB">
      <w:pPr>
        <w:spacing w:after="0"/>
        <w:jc w:val="both"/>
      </w:pPr>
      <w:r w:rsidRPr="00473317">
        <w:t xml:space="preserve">The </w:t>
      </w:r>
      <w:r w:rsidR="0083690C">
        <w:t>seventh</w:t>
      </w:r>
      <w:r w:rsidR="00E82A5D">
        <w:t xml:space="preserve"> ANZ</w:t>
      </w:r>
      <w:r w:rsidR="004828E1" w:rsidRPr="00473317">
        <w:t>HFR Facilities Level Aud</w:t>
      </w:r>
      <w:r w:rsidRPr="00473317">
        <w:t>it included information from 118</w:t>
      </w:r>
      <w:r w:rsidR="004828E1" w:rsidRPr="00473317">
        <w:t xml:space="preserve"> hos</w:t>
      </w:r>
      <w:r w:rsidRPr="00473317">
        <w:t>pitals: 23 in New Zealand and 95</w:t>
      </w:r>
      <w:r w:rsidR="004828E1" w:rsidRPr="00473317">
        <w:t xml:space="preserve"> in Australia. The</w:t>
      </w:r>
      <w:r w:rsidR="004828E1">
        <w:t xml:space="preserve"> aim of the Facilities Level Audit is to document and monitor over time the services, resources, policies, protocols and practices that exist in both countries in relation to hip fracture care</w:t>
      </w:r>
      <w:r w:rsidR="004828E1" w:rsidRPr="00473317">
        <w:t>. In 2012, a standardised audit form was devised by the ANZHFR Steering Group for use in all public hospitals in both countries.</w:t>
      </w:r>
    </w:p>
    <w:p w14:paraId="269A799F" w14:textId="77777777" w:rsidR="004E1BCB" w:rsidRDefault="004E1BCB" w:rsidP="004E1BCB">
      <w:pPr>
        <w:spacing w:after="0"/>
        <w:jc w:val="both"/>
      </w:pPr>
    </w:p>
    <w:p w14:paraId="7A5B8516" w14:textId="7A95B95F" w:rsidR="004828E1" w:rsidRDefault="004828E1" w:rsidP="004E1BCB">
      <w:pPr>
        <w:spacing w:after="0"/>
        <w:jc w:val="both"/>
      </w:pPr>
      <w:r>
        <w:t>Several figures ha</w:t>
      </w:r>
      <w:r w:rsidR="008D50E3">
        <w:t>ve been reproduced from the 201</w:t>
      </w:r>
      <w:r w:rsidR="0083690C">
        <w:t>9</w:t>
      </w:r>
      <w:r w:rsidR="00E82A5D">
        <w:t xml:space="preserve"> ANZ</w:t>
      </w:r>
      <w:r>
        <w:t>HFR Report be</w:t>
      </w:r>
      <w:r w:rsidR="00E82A5D">
        <w:t>low, with permission of the ANZ</w:t>
      </w:r>
      <w:r w:rsidR="00124AE0">
        <w:t>HFR. As illustrated in Figure 1</w:t>
      </w:r>
      <w:r>
        <w:t xml:space="preserve"> overleaf, the number of hip fractures treated in hospitals in both countries varies c</w:t>
      </w:r>
      <w:r w:rsidR="00124AE0">
        <w:t>onsiderably. As illustrated in Figure 2</w:t>
      </w:r>
      <w:r>
        <w:t xml:space="preserve">, there is considerable variability in terms of the model of care provided for hip fracture patients. </w:t>
      </w:r>
      <w:r w:rsidR="00124AE0">
        <w:t>Figure 3 and Figure 4</w:t>
      </w:r>
      <w:r w:rsidRPr="009B677F">
        <w:t xml:space="preserve"> illustrates the proportion of hospitals in </w:t>
      </w:r>
      <w:r w:rsidR="009B677F" w:rsidRPr="009B677F">
        <w:t xml:space="preserve">Australia and </w:t>
      </w:r>
      <w:r w:rsidRPr="009B677F">
        <w:t>New Zealand with the following protocols for</w:t>
      </w:r>
      <w:r w:rsidR="009B677F">
        <w:t xml:space="preserve"> the period 2013-201</w:t>
      </w:r>
      <w:r w:rsidR="00384AD6">
        <w:t>9</w:t>
      </w:r>
      <w:r>
        <w:t>:</w:t>
      </w:r>
    </w:p>
    <w:p w14:paraId="3AFC64A3" w14:textId="77777777" w:rsidR="00043121" w:rsidRDefault="00043121" w:rsidP="00014A9F">
      <w:pPr>
        <w:pStyle w:val="ListParagraph"/>
        <w:numPr>
          <w:ilvl w:val="0"/>
          <w:numId w:val="14"/>
        </w:numPr>
        <w:jc w:val="both"/>
        <w:sectPr w:rsidR="00043121" w:rsidSect="008D78EB">
          <w:footerReference w:type="default" r:id="rId10"/>
          <w:endnotePr>
            <w:numFmt w:val="decimal"/>
          </w:endnotePr>
          <w:pgSz w:w="11906" w:h="16838"/>
          <w:pgMar w:top="1440" w:right="1440" w:bottom="1440" w:left="1440" w:header="708" w:footer="708" w:gutter="0"/>
          <w:pgNumType w:start="3"/>
          <w:cols w:space="708"/>
          <w:docGrid w:linePitch="360"/>
        </w:sectPr>
      </w:pPr>
    </w:p>
    <w:p w14:paraId="4779DCF4" w14:textId="4A9B116E" w:rsidR="009B677F" w:rsidRDefault="009B677F" w:rsidP="00014A9F">
      <w:pPr>
        <w:pStyle w:val="ListParagraph"/>
        <w:numPr>
          <w:ilvl w:val="0"/>
          <w:numId w:val="14"/>
        </w:numPr>
        <w:jc w:val="both"/>
      </w:pPr>
      <w:r>
        <w:t>Shared Care MOC</w:t>
      </w:r>
    </w:p>
    <w:p w14:paraId="240D9135" w14:textId="5EC28700" w:rsidR="004828E1" w:rsidRDefault="009B677F" w:rsidP="00014A9F">
      <w:pPr>
        <w:pStyle w:val="ListParagraph"/>
        <w:numPr>
          <w:ilvl w:val="0"/>
          <w:numId w:val="14"/>
        </w:numPr>
        <w:jc w:val="both"/>
      </w:pPr>
      <w:r>
        <w:t>ED protocol/pathway</w:t>
      </w:r>
    </w:p>
    <w:p w14:paraId="37886D9B" w14:textId="055017AF" w:rsidR="004828E1" w:rsidRDefault="009B677F" w:rsidP="00014A9F">
      <w:pPr>
        <w:pStyle w:val="ListParagraph"/>
        <w:numPr>
          <w:ilvl w:val="0"/>
          <w:numId w:val="14"/>
        </w:numPr>
        <w:jc w:val="both"/>
      </w:pPr>
      <w:r>
        <w:t>CT/MRI protocol</w:t>
      </w:r>
    </w:p>
    <w:p w14:paraId="07E19480" w14:textId="2FFF1B3C" w:rsidR="004828E1" w:rsidRDefault="009B677F" w:rsidP="00014A9F">
      <w:pPr>
        <w:pStyle w:val="ListParagraph"/>
        <w:numPr>
          <w:ilvl w:val="0"/>
          <w:numId w:val="14"/>
        </w:numPr>
        <w:jc w:val="both"/>
      </w:pPr>
      <w:r>
        <w:t>VTE protocol</w:t>
      </w:r>
    </w:p>
    <w:p w14:paraId="740AA706" w14:textId="37F97618" w:rsidR="004828E1" w:rsidRDefault="009B677F" w:rsidP="00014A9F">
      <w:pPr>
        <w:pStyle w:val="ListParagraph"/>
        <w:numPr>
          <w:ilvl w:val="0"/>
          <w:numId w:val="14"/>
        </w:numPr>
        <w:jc w:val="both"/>
      </w:pPr>
      <w:r>
        <w:t>Pain pathway</w:t>
      </w:r>
    </w:p>
    <w:p w14:paraId="57B677AE" w14:textId="0A9F9645" w:rsidR="004828E1" w:rsidRDefault="009B677F" w:rsidP="00014A9F">
      <w:pPr>
        <w:pStyle w:val="ListParagraph"/>
        <w:numPr>
          <w:ilvl w:val="0"/>
          <w:numId w:val="14"/>
        </w:numPr>
        <w:jc w:val="both"/>
      </w:pPr>
      <w:r>
        <w:t>Anaesthetic choice</w:t>
      </w:r>
    </w:p>
    <w:p w14:paraId="0E1A3AA3" w14:textId="14050BFA" w:rsidR="004828E1" w:rsidRDefault="009B677F" w:rsidP="00014A9F">
      <w:pPr>
        <w:pStyle w:val="ListParagraph"/>
        <w:numPr>
          <w:ilvl w:val="0"/>
          <w:numId w:val="14"/>
        </w:numPr>
        <w:jc w:val="both"/>
      </w:pPr>
      <w:r>
        <w:t>Scheduled theatre list</w:t>
      </w:r>
    </w:p>
    <w:p w14:paraId="7FA985E8" w14:textId="20B29E9F" w:rsidR="00411C30" w:rsidRDefault="009B677F" w:rsidP="00014A9F">
      <w:pPr>
        <w:pStyle w:val="ListParagraph"/>
        <w:numPr>
          <w:ilvl w:val="0"/>
          <w:numId w:val="14"/>
        </w:numPr>
        <w:spacing w:after="0"/>
        <w:ind w:left="714" w:hanging="357"/>
        <w:jc w:val="both"/>
      </w:pPr>
      <w:r>
        <w:t>Weekend therapy</w:t>
      </w:r>
    </w:p>
    <w:p w14:paraId="7F7BF447" w14:textId="77777777" w:rsidR="00FD5447" w:rsidRDefault="00FD5447" w:rsidP="00FD5447">
      <w:pPr>
        <w:pStyle w:val="ListParagraph"/>
        <w:spacing w:after="0"/>
        <w:ind w:left="714"/>
        <w:jc w:val="both"/>
      </w:pPr>
    </w:p>
    <w:p w14:paraId="40DAF2AA" w14:textId="751F65F0" w:rsidR="00CE2EF6" w:rsidRDefault="00124AE0" w:rsidP="00A934B8">
      <w:pPr>
        <w:spacing w:after="0"/>
        <w:jc w:val="both"/>
      </w:pPr>
      <w:r>
        <w:t>Figure 1</w:t>
      </w:r>
      <w:r w:rsidR="004828E1">
        <w:t>. Estimated number of hip fractures treated by Australian and</w:t>
      </w:r>
      <w:r w:rsidR="00A02225">
        <w:t xml:space="preserve"> New Zealand Hospitals 2014-201</w:t>
      </w:r>
      <w:r w:rsidR="00384AD6">
        <w:t>9</w:t>
      </w:r>
      <w:r w:rsidR="00095D35" w:rsidRPr="00095D35">
        <w:rPr>
          <w:noProof/>
          <w:lang w:val="en-AU" w:eastAsia="en-AU"/>
        </w:rPr>
        <w:drawing>
          <wp:inline distT="0" distB="0" distL="0" distR="0" wp14:anchorId="4052788D" wp14:editId="2F962534">
            <wp:extent cx="5493600" cy="252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3600" cy="2520000"/>
                    </a:xfrm>
                    <a:prstGeom prst="rect">
                      <a:avLst/>
                    </a:prstGeom>
                  </pic:spPr>
                </pic:pic>
              </a:graphicData>
            </a:graphic>
          </wp:inline>
        </w:drawing>
      </w:r>
    </w:p>
    <w:p w14:paraId="50969B34" w14:textId="77777777" w:rsidR="002C2ADB" w:rsidRDefault="002C2ADB" w:rsidP="00A934B8">
      <w:pPr>
        <w:spacing w:after="0"/>
        <w:jc w:val="both"/>
        <w:rPr>
          <w:noProof/>
          <w:lang w:val="en-GB" w:eastAsia="en-GB"/>
        </w:rPr>
      </w:pPr>
      <w:bookmarkStart w:id="13" w:name="_GoBack"/>
      <w:bookmarkEnd w:id="13"/>
    </w:p>
    <w:p w14:paraId="4CB081A1" w14:textId="2610CF6B" w:rsidR="000B5E5E" w:rsidRPr="000B5E5E" w:rsidRDefault="00124AE0" w:rsidP="00A934B8">
      <w:pPr>
        <w:spacing w:after="0"/>
        <w:jc w:val="both"/>
      </w:pPr>
      <w:r>
        <w:t>Figure 2</w:t>
      </w:r>
      <w:r w:rsidR="004828E1">
        <w:t xml:space="preserve">. Model of care for older </w:t>
      </w:r>
      <w:r w:rsidR="00A02225">
        <w:t>hip fracture patients, 2014-201</w:t>
      </w:r>
      <w:r w:rsidR="00F6217C">
        <w:t>9</w:t>
      </w:r>
    </w:p>
    <w:p w14:paraId="34FEE7DA" w14:textId="3324FEA7" w:rsidR="005F502A" w:rsidRPr="000B5E5E" w:rsidRDefault="00095D35" w:rsidP="00A934B8">
      <w:pPr>
        <w:spacing w:after="0"/>
        <w:jc w:val="both"/>
        <w:rPr>
          <w:lang w:val="en-AU"/>
        </w:rPr>
      </w:pPr>
      <w:r w:rsidRPr="00095D35">
        <w:rPr>
          <w:noProof/>
          <w:lang w:val="en-AU" w:eastAsia="en-AU"/>
        </w:rPr>
        <w:drawing>
          <wp:inline distT="0" distB="0" distL="0" distR="0" wp14:anchorId="4BB8CB86" wp14:editId="46E98A51">
            <wp:extent cx="5230800" cy="25200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30800" cy="2520000"/>
                    </a:xfrm>
                    <a:prstGeom prst="rect">
                      <a:avLst/>
                    </a:prstGeom>
                  </pic:spPr>
                </pic:pic>
              </a:graphicData>
            </a:graphic>
          </wp:inline>
        </w:drawing>
      </w:r>
    </w:p>
    <w:p w14:paraId="3B537028" w14:textId="37A6E08C" w:rsidR="004828E1" w:rsidRPr="000B5E5E" w:rsidRDefault="004828E1" w:rsidP="00BC60B8">
      <w:pPr>
        <w:pStyle w:val="ListParagraph"/>
        <w:numPr>
          <w:ilvl w:val="0"/>
          <w:numId w:val="13"/>
        </w:numPr>
        <w:ind w:firstLine="66"/>
        <w:jc w:val="both"/>
      </w:pPr>
      <w:r w:rsidRPr="000B5E5E">
        <w:t>A shared care arrangement where there is joint responsibility for the patient from admission between orthopaedics and geriatric medicine for all older hip fracture patients.</w:t>
      </w:r>
    </w:p>
    <w:p w14:paraId="0B027D96" w14:textId="77777777" w:rsidR="004828E1" w:rsidRPr="000B5E5E" w:rsidRDefault="004828E1" w:rsidP="00BC60B8">
      <w:pPr>
        <w:pStyle w:val="ListParagraph"/>
        <w:numPr>
          <w:ilvl w:val="0"/>
          <w:numId w:val="13"/>
        </w:numPr>
        <w:ind w:firstLine="66"/>
        <w:jc w:val="both"/>
      </w:pPr>
      <w:r w:rsidRPr="000B5E5E">
        <w:t>An orthogeriatric liaison service where geriatric medicine provides regular review of all older hip fracture patients (daily during working week).</w:t>
      </w:r>
    </w:p>
    <w:p w14:paraId="799888CE" w14:textId="77777777" w:rsidR="004828E1" w:rsidRPr="000B5E5E" w:rsidRDefault="004828E1" w:rsidP="00BC60B8">
      <w:pPr>
        <w:pStyle w:val="ListParagraph"/>
        <w:numPr>
          <w:ilvl w:val="0"/>
          <w:numId w:val="13"/>
        </w:numPr>
        <w:ind w:firstLine="66"/>
        <w:jc w:val="both"/>
      </w:pPr>
      <w:r w:rsidRPr="000B5E5E">
        <w:t>A medical liaison service where a general physician or GP provides regular review of all older hip fracture patients (daily during working week).</w:t>
      </w:r>
    </w:p>
    <w:p w14:paraId="6BC53235" w14:textId="77777777" w:rsidR="004828E1" w:rsidRPr="000B5E5E" w:rsidRDefault="004828E1" w:rsidP="00BC60B8">
      <w:pPr>
        <w:pStyle w:val="ListParagraph"/>
        <w:numPr>
          <w:ilvl w:val="0"/>
          <w:numId w:val="13"/>
        </w:numPr>
        <w:ind w:firstLine="66"/>
        <w:jc w:val="both"/>
      </w:pPr>
      <w:r w:rsidRPr="000B5E5E">
        <w:t>An orthogeriatric liaison service where geriatric medicine provides intermittent review of all older hip fracture patients (2-3 times weekly).</w:t>
      </w:r>
    </w:p>
    <w:p w14:paraId="07240056" w14:textId="77777777" w:rsidR="004828E1" w:rsidRPr="000B5E5E" w:rsidRDefault="004828E1" w:rsidP="00BC60B8">
      <w:pPr>
        <w:pStyle w:val="ListParagraph"/>
        <w:numPr>
          <w:ilvl w:val="0"/>
          <w:numId w:val="13"/>
        </w:numPr>
        <w:ind w:firstLine="66"/>
        <w:jc w:val="both"/>
      </w:pPr>
      <w:r w:rsidRPr="000B5E5E">
        <w:t>A medical liaison service where a general physician or GP provides intermittent review of hip fracture patients (2-3 times weekly).</w:t>
      </w:r>
    </w:p>
    <w:p w14:paraId="0B2D9812" w14:textId="77777777" w:rsidR="004828E1" w:rsidRPr="000B5E5E" w:rsidRDefault="004828E1" w:rsidP="00BC60B8">
      <w:pPr>
        <w:pStyle w:val="ListParagraph"/>
        <w:numPr>
          <w:ilvl w:val="0"/>
          <w:numId w:val="13"/>
        </w:numPr>
        <w:ind w:firstLine="66"/>
        <w:jc w:val="both"/>
      </w:pPr>
      <w:r w:rsidRPr="000B5E5E">
        <w:t>An orthogeriatric liaison service (2014) / geriatric service (2015/6) where a consult system determines which patients are reviewed.</w:t>
      </w:r>
    </w:p>
    <w:p w14:paraId="6F2FA02F" w14:textId="77777777" w:rsidR="004828E1" w:rsidRPr="000B5E5E" w:rsidRDefault="004828E1" w:rsidP="00BC60B8">
      <w:pPr>
        <w:pStyle w:val="ListParagraph"/>
        <w:numPr>
          <w:ilvl w:val="0"/>
          <w:numId w:val="13"/>
        </w:numPr>
        <w:ind w:firstLine="66"/>
        <w:jc w:val="both"/>
      </w:pPr>
      <w:r w:rsidRPr="000B5E5E">
        <w:t>A medical liaison service (2014) / medical service (2015/6) where a consult system determines which patients are reviewed.</w:t>
      </w:r>
    </w:p>
    <w:p w14:paraId="11212D61" w14:textId="77777777" w:rsidR="004828E1" w:rsidRPr="000B5E5E" w:rsidRDefault="004828E1" w:rsidP="00BC60B8">
      <w:pPr>
        <w:pStyle w:val="ListParagraph"/>
        <w:numPr>
          <w:ilvl w:val="0"/>
          <w:numId w:val="13"/>
        </w:numPr>
        <w:ind w:firstLine="66"/>
        <w:jc w:val="both"/>
      </w:pPr>
      <w:r w:rsidRPr="000B5E5E">
        <w:t>No formal service exists.</w:t>
      </w:r>
    </w:p>
    <w:p w14:paraId="1548A8CA" w14:textId="3DB713FD" w:rsidR="00A934B8" w:rsidRPr="00FD5447" w:rsidRDefault="004828E1" w:rsidP="00FD5447">
      <w:pPr>
        <w:pStyle w:val="ListParagraph"/>
        <w:numPr>
          <w:ilvl w:val="0"/>
          <w:numId w:val="13"/>
        </w:numPr>
        <w:ind w:firstLine="66"/>
        <w:jc w:val="both"/>
      </w:pPr>
      <w:r w:rsidRPr="000B5E5E">
        <w:t>Other.</w:t>
      </w:r>
      <w:r w:rsidR="000B5E5E" w:rsidRPr="000B5E5E">
        <w:rPr>
          <w:lang w:val="en-AU"/>
        </w:rPr>
        <w:t xml:space="preserve"> </w:t>
      </w:r>
    </w:p>
    <w:p w14:paraId="3386B0BF" w14:textId="77777777" w:rsidR="00FD5447" w:rsidRDefault="00FD5447" w:rsidP="00FD5447">
      <w:pPr>
        <w:pStyle w:val="ListParagraph"/>
        <w:ind w:left="426"/>
        <w:jc w:val="both"/>
      </w:pPr>
    </w:p>
    <w:p w14:paraId="3BF41FB6" w14:textId="0CFD9A75" w:rsidR="000B5E5E" w:rsidRDefault="00A934B8" w:rsidP="00A934B8">
      <w:pPr>
        <w:spacing w:after="0"/>
        <w:jc w:val="both"/>
      </w:pPr>
      <w:r>
        <w:t>Figure</w:t>
      </w:r>
      <w:r w:rsidR="00124AE0">
        <w:t xml:space="preserve"> 3</w:t>
      </w:r>
      <w:r w:rsidR="000B5E5E">
        <w:t>. Presence of protocols for elements of</w:t>
      </w:r>
      <w:r w:rsidR="004828E1">
        <w:t xml:space="preserve"> hip frac</w:t>
      </w:r>
      <w:r w:rsidR="000B5E5E">
        <w:t>ture care in Australian Hospitals 2013-201</w:t>
      </w:r>
      <w:r w:rsidR="00F6217C">
        <w:t>9</w:t>
      </w:r>
    </w:p>
    <w:p w14:paraId="7C784796" w14:textId="28ECB073" w:rsidR="0026297A" w:rsidRDefault="0026297A" w:rsidP="00A934B8">
      <w:pPr>
        <w:spacing w:after="0"/>
        <w:jc w:val="both"/>
        <w:rPr>
          <w:noProof/>
          <w:lang w:val="en-GB" w:eastAsia="en-GB"/>
        </w:rPr>
      </w:pPr>
      <w:r w:rsidRPr="008A3F4F">
        <w:rPr>
          <w:noProof/>
          <w:sz w:val="20"/>
          <w:lang w:val="en-AU" w:eastAsia="en-AU"/>
        </w:rPr>
        <w:drawing>
          <wp:inline distT="0" distB="0" distL="0" distR="0" wp14:anchorId="6D330FC5" wp14:editId="36808EBA">
            <wp:extent cx="5662800" cy="32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62800" cy="3240000"/>
                    </a:xfrm>
                    <a:prstGeom prst="rect">
                      <a:avLst/>
                    </a:prstGeom>
                  </pic:spPr>
                </pic:pic>
              </a:graphicData>
            </a:graphic>
          </wp:inline>
        </w:drawing>
      </w:r>
    </w:p>
    <w:p w14:paraId="37C89474" w14:textId="77777777" w:rsidR="0026297A" w:rsidRDefault="0026297A" w:rsidP="00A934B8">
      <w:pPr>
        <w:spacing w:after="0"/>
        <w:jc w:val="both"/>
        <w:rPr>
          <w:noProof/>
          <w:lang w:val="en-GB" w:eastAsia="en-GB"/>
        </w:rPr>
      </w:pPr>
    </w:p>
    <w:p w14:paraId="6702F4A5" w14:textId="46CF3FE2" w:rsidR="0026297A" w:rsidRDefault="00124AE0" w:rsidP="00A934B8">
      <w:pPr>
        <w:spacing w:after="0"/>
        <w:jc w:val="both"/>
      </w:pPr>
      <w:r>
        <w:rPr>
          <w:noProof/>
          <w:lang w:val="en-GB" w:eastAsia="en-GB"/>
        </w:rPr>
        <w:t>Figure 4</w:t>
      </w:r>
      <w:r w:rsidR="0026297A">
        <w:rPr>
          <w:noProof/>
          <w:lang w:val="en-GB" w:eastAsia="en-GB"/>
        </w:rPr>
        <w:t xml:space="preserve">. </w:t>
      </w:r>
      <w:r w:rsidR="0026297A">
        <w:t>Presence of protocols for elements of hip fracture care in New Zealand Hospitals 2013-2019</w:t>
      </w:r>
    </w:p>
    <w:p w14:paraId="09581B7F" w14:textId="77777777" w:rsidR="00CE2EF6" w:rsidRDefault="001F7965" w:rsidP="00A934B8">
      <w:pPr>
        <w:spacing w:after="0"/>
        <w:jc w:val="both"/>
      </w:pPr>
      <w:r w:rsidRPr="001F7965">
        <w:rPr>
          <w:noProof/>
          <w:lang w:val="en-AU" w:eastAsia="en-AU"/>
        </w:rPr>
        <w:drawing>
          <wp:inline distT="0" distB="0" distL="0" distR="0" wp14:anchorId="45241589" wp14:editId="5935C48B">
            <wp:extent cx="5756400" cy="32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6400" cy="3240000"/>
                    </a:xfrm>
                    <a:prstGeom prst="rect">
                      <a:avLst/>
                    </a:prstGeom>
                  </pic:spPr>
                </pic:pic>
              </a:graphicData>
            </a:graphic>
          </wp:inline>
        </w:drawing>
      </w:r>
    </w:p>
    <w:p w14:paraId="445BE218" w14:textId="77777777" w:rsidR="006043E3" w:rsidRDefault="006043E3">
      <w:pPr>
        <w:rPr>
          <w:rFonts w:asciiTheme="majorHAnsi" w:eastAsiaTheme="majorEastAsia" w:hAnsiTheme="majorHAnsi" w:cstheme="majorBidi"/>
          <w:color w:val="2E74B5" w:themeColor="accent1" w:themeShade="BF"/>
          <w:sz w:val="32"/>
          <w:szCs w:val="32"/>
        </w:rPr>
      </w:pPr>
      <w:r>
        <w:br w:type="page"/>
      </w:r>
    </w:p>
    <w:p w14:paraId="15ECFFE2" w14:textId="659FF3E1" w:rsidR="00C26D63" w:rsidRPr="00F70B40" w:rsidRDefault="00C13D28" w:rsidP="00CE2EF6">
      <w:pPr>
        <w:pStyle w:val="Heading1"/>
        <w:jc w:val="both"/>
      </w:pPr>
      <w:bookmarkStart w:id="14" w:name="_Toc21443859"/>
      <w:r w:rsidRPr="00F70B40">
        <w:t xml:space="preserve">Orthogeriatric service provision at </w:t>
      </w:r>
      <w:r w:rsidRPr="00CE2EF6">
        <w:rPr>
          <w:color w:val="FF0000"/>
        </w:rPr>
        <w:t xml:space="preserve">[Insert </w:t>
      </w:r>
      <w:r w:rsidR="00F70B40" w:rsidRPr="00CE2EF6">
        <w:rPr>
          <w:color w:val="FF0000"/>
        </w:rPr>
        <w:t>name of h</w:t>
      </w:r>
      <w:r w:rsidRPr="00CE2EF6">
        <w:rPr>
          <w:color w:val="FF0000"/>
        </w:rPr>
        <w:t>ospital]</w:t>
      </w:r>
      <w:bookmarkEnd w:id="14"/>
    </w:p>
    <w:p w14:paraId="402141FD" w14:textId="77777777" w:rsidR="00C26D63" w:rsidRDefault="002D4835" w:rsidP="00A934B8">
      <w:pPr>
        <w:spacing w:after="0"/>
        <w:jc w:val="both"/>
      </w:pPr>
      <w:r>
        <w:t>This section of the busine</w:t>
      </w:r>
      <w:r w:rsidR="00D91846">
        <w:t xml:space="preserve">ss plan requires input from </w:t>
      </w:r>
      <w:r w:rsidR="00B51443">
        <w:t>local lead clinicians which describes</w:t>
      </w:r>
      <w:r>
        <w:t>:</w:t>
      </w:r>
    </w:p>
    <w:p w14:paraId="138B634A" w14:textId="10D1BCD9" w:rsidR="00F44868" w:rsidRDefault="00D91846" w:rsidP="00535706">
      <w:pPr>
        <w:pStyle w:val="ListParagraph"/>
        <w:numPr>
          <w:ilvl w:val="0"/>
          <w:numId w:val="10"/>
        </w:numPr>
        <w:ind w:left="720" w:hanging="357"/>
        <w:jc w:val="both"/>
      </w:pPr>
      <w:r w:rsidRPr="00D347D5">
        <w:rPr>
          <w:b/>
        </w:rPr>
        <w:t>Current provision:</w:t>
      </w:r>
      <w:r w:rsidRPr="00D347D5">
        <w:t xml:space="preserve"> </w:t>
      </w:r>
      <w:r w:rsidR="002D4835" w:rsidRPr="00D347D5">
        <w:t>A description of the current model of care in place for hip fracture patients. The cu</w:t>
      </w:r>
      <w:r w:rsidR="00EE0699" w:rsidRPr="00D347D5">
        <w:t>rrent configuration may</w:t>
      </w:r>
      <w:r w:rsidR="002D4835" w:rsidRPr="00D347D5">
        <w:t xml:space="preserve"> be similar to one of the four common examples described in the international experience section above. This</w:t>
      </w:r>
      <w:r w:rsidR="002D4835">
        <w:t xml:space="preserve"> could be informed by the hospital’s contribution to the </w:t>
      </w:r>
      <w:r w:rsidR="008D50E3" w:rsidRPr="008D50E3">
        <w:t xml:space="preserve">recent </w:t>
      </w:r>
      <w:r w:rsidR="00F53A09">
        <w:t>seven</w:t>
      </w:r>
      <w:r w:rsidR="00E40490">
        <w:t>t</w:t>
      </w:r>
      <w:r w:rsidR="008D50E3" w:rsidRPr="008D50E3">
        <w:t>h</w:t>
      </w:r>
      <w:r w:rsidR="001545BE">
        <w:t xml:space="preserve"> ANZ</w:t>
      </w:r>
      <w:r w:rsidR="002D4835" w:rsidRPr="008D50E3">
        <w:t>HFR Facilities Level Audit</w:t>
      </w:r>
      <w:r w:rsidR="00CF3E63" w:rsidRPr="008A3F4F">
        <w:rPr>
          <w:vertAlign w:val="superscript"/>
        </w:rPr>
        <w:fldChar w:fldCharType="begin"/>
      </w:r>
      <w:r w:rsidR="00CF3E63" w:rsidRPr="008A3F4F">
        <w:rPr>
          <w:vertAlign w:val="superscript"/>
        </w:rPr>
        <w:instrText xml:space="preserve"> NOTEREF _Ref18321315 </w:instrText>
      </w:r>
      <w:r w:rsidR="00F45536">
        <w:rPr>
          <w:vertAlign w:val="superscript"/>
        </w:rPr>
        <w:instrText xml:space="preserve"> \* MERGEFORMAT </w:instrText>
      </w:r>
      <w:r w:rsidR="00CF3E63" w:rsidRPr="008A3F4F">
        <w:rPr>
          <w:vertAlign w:val="superscript"/>
        </w:rPr>
        <w:fldChar w:fldCharType="separate"/>
      </w:r>
      <w:r w:rsidR="008B7C65">
        <w:rPr>
          <w:vertAlign w:val="superscript"/>
        </w:rPr>
        <w:t>40</w:t>
      </w:r>
      <w:r w:rsidR="00CF3E63" w:rsidRPr="008A3F4F">
        <w:rPr>
          <w:vertAlign w:val="superscript"/>
        </w:rPr>
        <w:fldChar w:fldCharType="end"/>
      </w:r>
      <w:r w:rsidR="002D4835" w:rsidRPr="008D50E3">
        <w:t xml:space="preserve"> and</w:t>
      </w:r>
      <w:r w:rsidR="002D4835">
        <w:t>/or from the local Hip Fracture Pathway.</w:t>
      </w:r>
      <w:r w:rsidR="005F120F">
        <w:t xml:space="preserve"> </w:t>
      </w:r>
    </w:p>
    <w:p w14:paraId="6D602381" w14:textId="75D0D6B4" w:rsidR="002D4835" w:rsidRDefault="000B5E5E" w:rsidP="00535706">
      <w:pPr>
        <w:pStyle w:val="ListParagraph"/>
        <w:numPr>
          <w:ilvl w:val="0"/>
          <w:numId w:val="10"/>
        </w:numPr>
        <w:ind w:left="720" w:hanging="357"/>
        <w:jc w:val="both"/>
      </w:pPr>
      <w:r>
        <w:rPr>
          <w:b/>
        </w:rPr>
        <w:t>Current perf</w:t>
      </w:r>
      <w:r w:rsidR="00D91846" w:rsidRPr="00D91846">
        <w:rPr>
          <w:b/>
        </w:rPr>
        <w:t>ormance:</w:t>
      </w:r>
      <w:r w:rsidR="00D91846">
        <w:t xml:space="preserve"> </w:t>
      </w:r>
      <w:r w:rsidR="002D4835">
        <w:t>An indication of performance of the current model of care. This could be informed by:</w:t>
      </w:r>
    </w:p>
    <w:p w14:paraId="1C3EF6CA" w14:textId="018819CA" w:rsidR="002D4835" w:rsidRDefault="002D4835" w:rsidP="00535706">
      <w:pPr>
        <w:pStyle w:val="ListParagraph"/>
        <w:numPr>
          <w:ilvl w:val="1"/>
          <w:numId w:val="10"/>
        </w:numPr>
        <w:spacing w:after="0"/>
        <w:ind w:left="1134" w:hanging="425"/>
        <w:jc w:val="both"/>
      </w:pPr>
      <w:r>
        <w:t>The hospital’s c</w:t>
      </w:r>
      <w:r w:rsidR="008D50E3">
        <w:t xml:space="preserve">ontribution to the recent </w:t>
      </w:r>
      <w:r w:rsidR="00F53A09">
        <w:t>seven</w:t>
      </w:r>
      <w:r w:rsidR="008D50E3">
        <w:t xml:space="preserve">th </w:t>
      </w:r>
      <w:r w:rsidR="001545BE">
        <w:t>ANZ</w:t>
      </w:r>
      <w:r w:rsidRPr="008D50E3">
        <w:t>HFR Patient Level Audit</w:t>
      </w:r>
      <w:r w:rsidR="003D5786" w:rsidRPr="008D50E3">
        <w:fldChar w:fldCharType="begin"/>
      </w:r>
      <w:r w:rsidR="009D0F08" w:rsidRPr="008D50E3">
        <w:instrText xml:space="preserve"> ADDIN EN.CITE &lt;EndNote&gt;&lt;Cite&gt;&lt;Author&gt;Australian and New Zealand Hip Fracture Registry&lt;/Author&gt;&lt;Year&gt;2016&lt;/Year&gt;&lt;RecNum&gt;1440&lt;/RecNum&gt;&lt;DisplayText&gt;&lt;style face="superscript"&gt;39&lt;/style&gt;&lt;/DisplayText&gt;&lt;record&gt;&lt;rec-number&gt;1440&lt;/rec-number&gt;&lt;foreign-keys&gt;&lt;key app="EN" db-id="05parrrwowsrz8ex5wd52tvmzatt22dr25tp" timestamp="1474430612"&gt;1440&lt;/key&gt;&lt;/foreign-keys&gt;&lt;ref-type name="Report"&gt;27&lt;/ref-type&gt;&lt;contributors&gt;&lt;authors&gt;&lt;author&gt;Australian and New Zealand Hip Fracture Registry,&lt;/author&gt;&lt;/authors&gt;&lt;/contributors&gt;&lt;titles&gt;&lt;title&gt;2016 Annual Report&lt;/title&gt;&lt;/titles&gt;&lt;dates&gt;&lt;year&gt;2016&lt;/year&gt;&lt;/dates&gt;&lt;pub-location&gt;Sydney&lt;/pub-location&gt;&lt;urls&gt;&lt;/urls&gt;&lt;/record&gt;&lt;/Cite&gt;&lt;/EndNote&gt;</w:instrText>
      </w:r>
      <w:r w:rsidR="003D5786" w:rsidRPr="008D50E3">
        <w:fldChar w:fldCharType="end"/>
      </w:r>
      <w:r w:rsidR="00EE0F42" w:rsidRPr="008A3F4F">
        <w:rPr>
          <w:vertAlign w:val="superscript"/>
        </w:rPr>
        <w:fldChar w:fldCharType="begin"/>
      </w:r>
      <w:r w:rsidR="00EE0F42" w:rsidRPr="008A3F4F">
        <w:rPr>
          <w:vertAlign w:val="superscript"/>
        </w:rPr>
        <w:instrText xml:space="preserve"> NOTEREF _Ref18321315 </w:instrText>
      </w:r>
      <w:r w:rsidR="00F45536">
        <w:rPr>
          <w:vertAlign w:val="superscript"/>
        </w:rPr>
        <w:instrText xml:space="preserve"> \* MERGEFORMAT </w:instrText>
      </w:r>
      <w:r w:rsidR="00EE0F42" w:rsidRPr="008A3F4F">
        <w:rPr>
          <w:vertAlign w:val="superscript"/>
        </w:rPr>
        <w:fldChar w:fldCharType="separate"/>
      </w:r>
      <w:r w:rsidR="008B7C65">
        <w:rPr>
          <w:vertAlign w:val="superscript"/>
        </w:rPr>
        <w:t>40</w:t>
      </w:r>
      <w:r w:rsidR="00EE0F42" w:rsidRPr="008A3F4F">
        <w:rPr>
          <w:vertAlign w:val="superscript"/>
        </w:rPr>
        <w:fldChar w:fldCharType="end"/>
      </w:r>
      <w:r w:rsidRPr="008D50E3">
        <w:t>.</w:t>
      </w:r>
    </w:p>
    <w:p w14:paraId="43C423DF" w14:textId="7525AE78" w:rsidR="006F6B31" w:rsidRDefault="006F6B31" w:rsidP="00535706">
      <w:pPr>
        <w:pStyle w:val="ListParagraph"/>
        <w:numPr>
          <w:ilvl w:val="1"/>
          <w:numId w:val="10"/>
        </w:numPr>
        <w:ind w:left="1134" w:hanging="425"/>
        <w:jc w:val="both"/>
      </w:pPr>
      <w:r>
        <w:t xml:space="preserve">The Australian Atlas of Healthcare Variation 2015 Chapter 3.8- Hip fracture hospital admissions 65 years and over and Chapter 3.9- Hip fracture average </w:t>
      </w:r>
      <w:r w:rsidR="00712092">
        <w:t xml:space="preserve">length of stay in </w:t>
      </w:r>
      <w:r w:rsidR="008952B7">
        <w:t xml:space="preserve">hospital by peer group- 65 years and over. See </w:t>
      </w:r>
      <w:hyperlink r:id="rId15" w:history="1">
        <w:r>
          <w:rPr>
            <w:rStyle w:val="Hyperlink"/>
          </w:rPr>
          <w:t>https://www.safetyandquality.gov.au/our-work/healthcare-variation/atlas-2015/atlas-2015-3-surgical-interventions</w:t>
        </w:r>
      </w:hyperlink>
    </w:p>
    <w:p w14:paraId="4F0820D3" w14:textId="4D0CBFA8" w:rsidR="00F44868" w:rsidRDefault="002D4835" w:rsidP="00535706">
      <w:pPr>
        <w:pStyle w:val="ListParagraph"/>
        <w:numPr>
          <w:ilvl w:val="1"/>
          <w:numId w:val="10"/>
        </w:numPr>
        <w:spacing w:after="0"/>
        <w:ind w:left="1134" w:hanging="425"/>
        <w:jc w:val="both"/>
      </w:pPr>
      <w:r>
        <w:t>Anal</w:t>
      </w:r>
      <w:r w:rsidR="00D06CFF">
        <w:t>ysis of adherence to the local hip fracture p</w:t>
      </w:r>
      <w:r>
        <w:t>athway</w:t>
      </w:r>
      <w:r w:rsidR="005F120F">
        <w:t xml:space="preserve"> and ERAS initiative</w:t>
      </w:r>
      <w:r>
        <w:t>.</w:t>
      </w:r>
    </w:p>
    <w:p w14:paraId="2876303D" w14:textId="13E2E829" w:rsidR="00D91846" w:rsidRDefault="00D91846" w:rsidP="00535706">
      <w:pPr>
        <w:pStyle w:val="ListParagraph"/>
        <w:numPr>
          <w:ilvl w:val="0"/>
          <w:numId w:val="10"/>
        </w:numPr>
        <w:ind w:left="720" w:hanging="357"/>
        <w:jc w:val="both"/>
      </w:pPr>
      <w:r w:rsidRPr="00D347D5">
        <w:rPr>
          <w:b/>
        </w:rPr>
        <w:t>Service</w:t>
      </w:r>
      <w:r w:rsidRPr="00D91846">
        <w:rPr>
          <w:b/>
        </w:rPr>
        <w:t xml:space="preserve"> development:</w:t>
      </w:r>
      <w:r>
        <w:t xml:space="preserve"> A description of proposed changes to the current model of care intended to enable delivery of the Hip Fracture Care Clinical Care Standard</w:t>
      </w:r>
      <w:r w:rsidR="00640A3B">
        <w:fldChar w:fldCharType="begin"/>
      </w:r>
      <w:r w:rsidR="00640A3B">
        <w:instrText xml:space="preserve"> NOTEREF _Ref18066376 \f \h </w:instrText>
      </w:r>
      <w:r w:rsidR="00640A3B">
        <w:fldChar w:fldCharType="separate"/>
      </w:r>
      <w:r w:rsidR="008B7C65" w:rsidRPr="008B7C65">
        <w:rPr>
          <w:rStyle w:val="EndnoteReference"/>
        </w:rPr>
        <w:t>35</w:t>
      </w:r>
      <w:r w:rsidR="00640A3B">
        <w:fldChar w:fldCharType="end"/>
      </w:r>
      <w:r>
        <w:t>. This could be i</w:t>
      </w:r>
      <w:r w:rsidR="001545BE">
        <w:t>nformed by the ANZ</w:t>
      </w:r>
      <w:r w:rsidR="00525532">
        <w:t xml:space="preserve">HFR </w:t>
      </w:r>
      <w:r>
        <w:t>documents</w:t>
      </w:r>
      <w:r w:rsidR="00F45536" w:rsidRPr="008A3F4F">
        <w:rPr>
          <w:vertAlign w:val="superscript"/>
        </w:rPr>
        <w:fldChar w:fldCharType="begin"/>
      </w:r>
      <w:r w:rsidR="00F45536" w:rsidRPr="008A3F4F">
        <w:rPr>
          <w:vertAlign w:val="superscript"/>
        </w:rPr>
        <w:instrText xml:space="preserve"> NOTEREF _Ref18066226 \h </w:instrText>
      </w:r>
      <w:r w:rsidR="00F45536">
        <w:rPr>
          <w:vertAlign w:val="superscript"/>
        </w:rPr>
        <w:instrText xml:space="preserve"> \* MERGEFORMAT </w:instrText>
      </w:r>
      <w:r w:rsidR="00F45536" w:rsidRPr="008A3F4F">
        <w:rPr>
          <w:vertAlign w:val="superscript"/>
        </w:rPr>
      </w:r>
      <w:r w:rsidR="00F45536" w:rsidRPr="008A3F4F">
        <w:rPr>
          <w:vertAlign w:val="superscript"/>
        </w:rPr>
        <w:fldChar w:fldCharType="separate"/>
      </w:r>
      <w:r w:rsidR="008B7C65">
        <w:rPr>
          <w:vertAlign w:val="superscript"/>
        </w:rPr>
        <w:t>32</w:t>
      </w:r>
      <w:r w:rsidR="00F45536" w:rsidRPr="008A3F4F">
        <w:rPr>
          <w:vertAlign w:val="superscript"/>
        </w:rPr>
        <w:fldChar w:fldCharType="end"/>
      </w:r>
      <w:r w:rsidR="00F45536" w:rsidRPr="008A3F4F">
        <w:rPr>
          <w:vertAlign w:val="superscript"/>
        </w:rPr>
        <w:t>,</w:t>
      </w:r>
      <w:r w:rsidR="00F45536" w:rsidRPr="008A3F4F">
        <w:rPr>
          <w:vertAlign w:val="superscript"/>
        </w:rPr>
        <w:fldChar w:fldCharType="begin"/>
      </w:r>
      <w:r w:rsidR="00F45536" w:rsidRPr="008A3F4F">
        <w:rPr>
          <w:vertAlign w:val="superscript"/>
        </w:rPr>
        <w:instrText xml:space="preserve"> NOTEREF _Ref18321315 \h </w:instrText>
      </w:r>
      <w:r w:rsidR="00F45536">
        <w:rPr>
          <w:vertAlign w:val="superscript"/>
        </w:rPr>
        <w:instrText xml:space="preserve"> \* MERGEFORMAT </w:instrText>
      </w:r>
      <w:r w:rsidR="00F45536" w:rsidRPr="008A3F4F">
        <w:rPr>
          <w:vertAlign w:val="superscript"/>
        </w:rPr>
      </w:r>
      <w:r w:rsidR="00F45536" w:rsidRPr="008A3F4F">
        <w:rPr>
          <w:vertAlign w:val="superscript"/>
        </w:rPr>
        <w:fldChar w:fldCharType="separate"/>
      </w:r>
      <w:r w:rsidR="008B7C65">
        <w:rPr>
          <w:vertAlign w:val="superscript"/>
        </w:rPr>
        <w:t>40</w:t>
      </w:r>
      <w:r w:rsidR="00F45536" w:rsidRPr="008A3F4F">
        <w:rPr>
          <w:vertAlign w:val="superscript"/>
        </w:rPr>
        <w:fldChar w:fldCharType="end"/>
      </w:r>
      <w:r>
        <w:t xml:space="preserve"> and </w:t>
      </w:r>
      <w:r w:rsidR="00D053BA">
        <w:t>documentation</w:t>
      </w:r>
      <w:r>
        <w:t xml:space="preserve"> from several Orthogeriatrics </w:t>
      </w:r>
      <w:r w:rsidRPr="00D347D5">
        <w:t>Services</w:t>
      </w:r>
      <w:r w:rsidR="00D347D5" w:rsidRPr="00D347D5">
        <w:t xml:space="preserve"> from Australia</w:t>
      </w:r>
      <w:r w:rsidR="00F508CF">
        <w:t xml:space="preserve"> and New Zealand</w:t>
      </w:r>
      <w:r w:rsidR="005C0FE2" w:rsidRPr="00D347D5">
        <w:t xml:space="preserve"> </w:t>
      </w:r>
      <w:r w:rsidRPr="00D347D5">
        <w:t>which feature in Appendix 1.</w:t>
      </w:r>
    </w:p>
    <w:p w14:paraId="6C6EC130" w14:textId="77777777" w:rsidR="00F44868" w:rsidRPr="00D347D5" w:rsidRDefault="00F44868" w:rsidP="00A934B8">
      <w:pPr>
        <w:pStyle w:val="ListParagraph"/>
        <w:spacing w:after="0"/>
        <w:jc w:val="both"/>
      </w:pPr>
    </w:p>
    <w:p w14:paraId="592562FC" w14:textId="1556FE37" w:rsidR="00A375C2" w:rsidRDefault="007E3887" w:rsidP="00A934B8">
      <w:pPr>
        <w:spacing w:after="0"/>
        <w:jc w:val="both"/>
      </w:pPr>
      <w:r>
        <w:t xml:space="preserve">The </w:t>
      </w:r>
      <w:r w:rsidR="00B51443">
        <w:t xml:space="preserve">section of the business plan could be </w:t>
      </w:r>
      <w:r>
        <w:t xml:space="preserve">structured </w:t>
      </w:r>
      <w:r w:rsidR="00A934B8">
        <w:t>as follows:</w:t>
      </w:r>
    </w:p>
    <w:p w14:paraId="0A533AB0" w14:textId="18E38FD2" w:rsidR="00B51443" w:rsidRPr="00A934B8" w:rsidRDefault="00A934B8" w:rsidP="00A934B8">
      <w:pPr>
        <w:spacing w:after="0"/>
        <w:jc w:val="both"/>
        <w:rPr>
          <w:b/>
        </w:rPr>
      </w:pPr>
      <w:r>
        <w:rPr>
          <w:b/>
        </w:rPr>
        <w:t>S</w:t>
      </w:r>
      <w:r w:rsidR="005E15BC" w:rsidRPr="00A934B8">
        <w:rPr>
          <w:b/>
        </w:rPr>
        <w:t>ervice development proposal:</w:t>
      </w:r>
    </w:p>
    <w:p w14:paraId="35FF1CF3" w14:textId="289978ED" w:rsidR="008F16B5" w:rsidRPr="00A934B8" w:rsidRDefault="008F16B5" w:rsidP="00014A9F">
      <w:pPr>
        <w:pStyle w:val="ListParagraph"/>
        <w:numPr>
          <w:ilvl w:val="0"/>
          <w:numId w:val="29"/>
        </w:numPr>
        <w:jc w:val="both"/>
        <w:rPr>
          <w:b/>
        </w:rPr>
      </w:pPr>
      <w:r w:rsidRPr="00A934B8">
        <w:rPr>
          <w:b/>
        </w:rPr>
        <w:t>C</w:t>
      </w:r>
      <w:r w:rsidR="003F59D6" w:rsidRPr="00A934B8">
        <w:rPr>
          <w:b/>
        </w:rPr>
        <w:t xml:space="preserve">urrent provision: </w:t>
      </w:r>
      <w:r w:rsidR="00A934B8">
        <w:t>As described above;</w:t>
      </w:r>
    </w:p>
    <w:p w14:paraId="170653CC" w14:textId="266C91DB" w:rsidR="008F16B5" w:rsidRPr="00A934B8" w:rsidRDefault="003F59D6" w:rsidP="00014A9F">
      <w:pPr>
        <w:pStyle w:val="ListParagraph"/>
        <w:numPr>
          <w:ilvl w:val="0"/>
          <w:numId w:val="29"/>
        </w:numPr>
        <w:jc w:val="both"/>
        <w:rPr>
          <w:b/>
        </w:rPr>
      </w:pPr>
      <w:r w:rsidRPr="00A934B8">
        <w:rPr>
          <w:b/>
        </w:rPr>
        <w:t xml:space="preserve">Current performance: </w:t>
      </w:r>
      <w:r w:rsidR="00A934B8">
        <w:t>As described above;</w:t>
      </w:r>
    </w:p>
    <w:p w14:paraId="68C97174" w14:textId="7AA6E953" w:rsidR="00804032" w:rsidRDefault="008F16B5" w:rsidP="00014A9F">
      <w:pPr>
        <w:pStyle w:val="ListParagraph"/>
        <w:numPr>
          <w:ilvl w:val="0"/>
          <w:numId w:val="29"/>
        </w:numPr>
        <w:jc w:val="both"/>
      </w:pPr>
      <w:r w:rsidRPr="00A934B8">
        <w:rPr>
          <w:b/>
        </w:rPr>
        <w:t>Service development</w:t>
      </w:r>
      <w:r w:rsidR="00804032" w:rsidRPr="00A934B8">
        <w:rPr>
          <w:b/>
        </w:rPr>
        <w:t>:</w:t>
      </w:r>
      <w:r w:rsidR="00D053BA">
        <w:t xml:space="preserve"> This section will identify gaps that exist between current performance and best practice according to the Hip Fracture Care Clinical Care Standard</w:t>
      </w:r>
      <w:r w:rsidR="00640A3B">
        <w:fldChar w:fldCharType="begin"/>
      </w:r>
      <w:r w:rsidR="00640A3B">
        <w:instrText xml:space="preserve"> NOTEREF _Ref18066376 \f \h </w:instrText>
      </w:r>
      <w:r w:rsidR="00640A3B">
        <w:fldChar w:fldCharType="separate"/>
      </w:r>
      <w:r w:rsidR="008B7C65" w:rsidRPr="008B7C65">
        <w:rPr>
          <w:rStyle w:val="EndnoteReference"/>
        </w:rPr>
        <w:t>35</w:t>
      </w:r>
      <w:r w:rsidR="00640A3B">
        <w:fldChar w:fldCharType="end"/>
      </w:r>
      <w:r w:rsidR="00D053BA">
        <w:t>.</w:t>
      </w:r>
      <w:r w:rsidR="00804032">
        <w:t xml:space="preserve"> This should include the rationale for appointment of </w:t>
      </w:r>
      <w:r w:rsidR="00D053BA">
        <w:t xml:space="preserve">any </w:t>
      </w:r>
      <w:r w:rsidR="00804032">
        <w:t>new staff (e.g. an orthogeriatrician, a hip fracture nurse specialist) or re-tasking of existing staff’s roles, and a comprehensive analysis of resources required to support such developments.</w:t>
      </w:r>
      <w:r w:rsidR="005E15BC">
        <w:t xml:space="preserve"> This section will also include:</w:t>
      </w:r>
    </w:p>
    <w:p w14:paraId="13125FC3" w14:textId="4CA1D6A1" w:rsidR="00804032" w:rsidRDefault="00804032" w:rsidP="00535706">
      <w:pPr>
        <w:pStyle w:val="ListParagraph"/>
        <w:numPr>
          <w:ilvl w:val="0"/>
          <w:numId w:val="30"/>
        </w:numPr>
        <w:spacing w:after="0"/>
        <w:ind w:left="1069"/>
        <w:jc w:val="both"/>
      </w:pPr>
      <w:r w:rsidRPr="00A934B8">
        <w:rPr>
          <w:b/>
        </w:rPr>
        <w:t>Service objectives:</w:t>
      </w:r>
      <w:r>
        <w:t xml:space="preserve"> A clear statement of </w:t>
      </w:r>
      <w:r w:rsidR="00D053BA">
        <w:t xml:space="preserve">what the </w:t>
      </w:r>
      <w:r w:rsidR="005D15E6">
        <w:t xml:space="preserve">new or refined </w:t>
      </w:r>
      <w:r w:rsidR="00D053BA">
        <w:t>service will deliver for</w:t>
      </w:r>
      <w:r>
        <w:t xml:space="preserve"> a specific patient popul</w:t>
      </w:r>
      <w:r w:rsidR="00A934B8">
        <w:t>ation within a given time frame;</w:t>
      </w:r>
    </w:p>
    <w:p w14:paraId="4DD9ED4E" w14:textId="58767153" w:rsidR="00F44868" w:rsidRDefault="00804032" w:rsidP="00535706">
      <w:pPr>
        <w:pStyle w:val="ListParagraph"/>
        <w:numPr>
          <w:ilvl w:val="0"/>
          <w:numId w:val="30"/>
        </w:numPr>
        <w:spacing w:after="0"/>
        <w:ind w:left="1066" w:hanging="357"/>
        <w:jc w:val="both"/>
      </w:pPr>
      <w:r w:rsidRPr="00A934B8">
        <w:rPr>
          <w:b/>
        </w:rPr>
        <w:t xml:space="preserve">Service </w:t>
      </w:r>
      <w:r w:rsidR="00D053BA" w:rsidRPr="00A934B8">
        <w:rPr>
          <w:b/>
        </w:rPr>
        <w:t>process and outcome measures</w:t>
      </w:r>
      <w:r w:rsidRPr="00A934B8">
        <w:rPr>
          <w:b/>
        </w:rPr>
        <w:t>:</w:t>
      </w:r>
      <w:r>
        <w:t xml:space="preserve"> </w:t>
      </w:r>
      <w:r w:rsidR="00D053BA">
        <w:t xml:space="preserve">Based on international experience and </w:t>
      </w:r>
      <w:r w:rsidR="00D053BA" w:rsidRPr="00D053BA">
        <w:t xml:space="preserve">publications and documentation </w:t>
      </w:r>
      <w:r w:rsidR="00D053BA" w:rsidRPr="00D347D5">
        <w:t xml:space="preserve">from several Orthogeriatrics Services from </w:t>
      </w:r>
      <w:r w:rsidR="00D347D5" w:rsidRPr="00D347D5">
        <w:t xml:space="preserve">Australia </w:t>
      </w:r>
      <w:r w:rsidR="00A26C52">
        <w:t xml:space="preserve">and New Zealand </w:t>
      </w:r>
      <w:r w:rsidR="00D053BA" w:rsidRPr="00D347D5">
        <w:t>which feature in Appendix 1, provide</w:t>
      </w:r>
      <w:r w:rsidR="00D053BA">
        <w:t xml:space="preserve"> an estimate of the impact that the new service will have upon delivery of the 7 Quality Statements of the Hip Fracture Care Clinical Care Standard</w:t>
      </w:r>
      <w:r w:rsidR="00640A3B">
        <w:fldChar w:fldCharType="begin"/>
      </w:r>
      <w:r w:rsidR="00640A3B">
        <w:instrText xml:space="preserve"> NOTEREF _Ref18066376 \f \h </w:instrText>
      </w:r>
      <w:r w:rsidR="00640A3B">
        <w:fldChar w:fldCharType="separate"/>
      </w:r>
      <w:r w:rsidR="008B7C65" w:rsidRPr="008B7C65">
        <w:rPr>
          <w:rStyle w:val="EndnoteReference"/>
        </w:rPr>
        <w:t>35</w:t>
      </w:r>
      <w:r w:rsidR="00640A3B">
        <w:fldChar w:fldCharType="end"/>
      </w:r>
      <w:r w:rsidR="00D053BA">
        <w:t>. Based on international experience, the impact on 30-day mortality could also be estimated over an appropriate time period.</w:t>
      </w:r>
    </w:p>
    <w:p w14:paraId="1CF3E7B6" w14:textId="158AEF46" w:rsidR="005E15BC" w:rsidRPr="00A934B8" w:rsidRDefault="005E15BC" w:rsidP="00A934B8">
      <w:pPr>
        <w:spacing w:after="0"/>
        <w:jc w:val="both"/>
        <w:rPr>
          <w:b/>
        </w:rPr>
      </w:pPr>
      <w:r w:rsidRPr="00A934B8">
        <w:rPr>
          <w:b/>
        </w:rPr>
        <w:t>Strategic context:</w:t>
      </w:r>
    </w:p>
    <w:p w14:paraId="038F3736" w14:textId="1FCF8ED8" w:rsidR="0044197E" w:rsidRDefault="008F16B5" w:rsidP="00EB6BA0">
      <w:pPr>
        <w:spacing w:after="0"/>
        <w:jc w:val="both"/>
      </w:pPr>
      <w:r>
        <w:t xml:space="preserve">Description of how the </w:t>
      </w:r>
      <w:r w:rsidR="006719EA">
        <w:t xml:space="preserve">proposed </w:t>
      </w:r>
      <w:r>
        <w:t xml:space="preserve">service development is aligned to </w:t>
      </w:r>
      <w:r w:rsidRPr="00EB6BA0">
        <w:rPr>
          <w:b/>
        </w:rPr>
        <w:t>national health priorities</w:t>
      </w:r>
      <w:r>
        <w:t>, including:</w:t>
      </w:r>
    </w:p>
    <w:p w14:paraId="16209E8B" w14:textId="100AF232" w:rsidR="0044197E" w:rsidRPr="00304A7E" w:rsidRDefault="0044197E" w:rsidP="00C5073B">
      <w:pPr>
        <w:pStyle w:val="ListParagraph"/>
        <w:numPr>
          <w:ilvl w:val="0"/>
          <w:numId w:val="34"/>
        </w:numPr>
        <w:jc w:val="both"/>
      </w:pPr>
      <w:r w:rsidRPr="00EB6BA0">
        <w:rPr>
          <w:b/>
        </w:rPr>
        <w:t>Australian Commission on Safety and Quality in Healthcare</w:t>
      </w:r>
      <w:r w:rsidRPr="00304A7E">
        <w:t xml:space="preserve"> works in four strategic priority areas</w:t>
      </w:r>
      <w:r w:rsidR="00081053">
        <w:rPr>
          <w:rStyle w:val="EndnoteReference"/>
        </w:rPr>
        <w:endnoteReference w:id="42"/>
      </w:r>
      <w:r w:rsidR="008310AC" w:rsidRPr="00304A7E">
        <w:t>:</w:t>
      </w:r>
    </w:p>
    <w:p w14:paraId="46E8E2AE" w14:textId="4A1E3EC8" w:rsidR="0044197E" w:rsidRPr="00304A7E" w:rsidRDefault="0044197E" w:rsidP="00535706">
      <w:pPr>
        <w:pStyle w:val="ListParagraph"/>
        <w:numPr>
          <w:ilvl w:val="0"/>
          <w:numId w:val="35"/>
        </w:numPr>
        <w:spacing w:after="0"/>
        <w:ind w:left="1069"/>
        <w:jc w:val="both"/>
      </w:pPr>
      <w:r w:rsidRPr="00304A7E">
        <w:t>Patient safety</w:t>
      </w:r>
      <w:r w:rsidR="00D06CFF">
        <w:t>;</w:t>
      </w:r>
    </w:p>
    <w:p w14:paraId="3A7B90FE" w14:textId="59CC1FE0" w:rsidR="0044197E" w:rsidRPr="00304A7E" w:rsidRDefault="0044197E" w:rsidP="00535706">
      <w:pPr>
        <w:pStyle w:val="ListParagraph"/>
        <w:numPr>
          <w:ilvl w:val="0"/>
          <w:numId w:val="36"/>
        </w:numPr>
        <w:spacing w:after="0"/>
        <w:ind w:left="1069"/>
        <w:jc w:val="both"/>
      </w:pPr>
      <w:r w:rsidRPr="00304A7E">
        <w:t>Partnering with patients, consumers and communities</w:t>
      </w:r>
      <w:r w:rsidR="00D06CFF">
        <w:t>;</w:t>
      </w:r>
    </w:p>
    <w:p w14:paraId="28EA75E7" w14:textId="7E3D298E" w:rsidR="0044197E" w:rsidRPr="00304A7E" w:rsidRDefault="0044197E" w:rsidP="00535706">
      <w:pPr>
        <w:pStyle w:val="ListParagraph"/>
        <w:numPr>
          <w:ilvl w:val="0"/>
          <w:numId w:val="36"/>
        </w:numPr>
        <w:spacing w:after="0"/>
        <w:ind w:left="1069"/>
        <w:jc w:val="both"/>
      </w:pPr>
      <w:r w:rsidRPr="00304A7E">
        <w:t>Quality, cost and value</w:t>
      </w:r>
      <w:r w:rsidR="00D06CFF">
        <w:t>;</w:t>
      </w:r>
    </w:p>
    <w:p w14:paraId="7998610A" w14:textId="09998803" w:rsidR="0044197E" w:rsidRDefault="0044197E" w:rsidP="00535706">
      <w:pPr>
        <w:pStyle w:val="ListParagraph"/>
        <w:numPr>
          <w:ilvl w:val="0"/>
          <w:numId w:val="36"/>
        </w:numPr>
        <w:spacing w:after="0"/>
        <w:ind w:left="1069"/>
        <w:jc w:val="both"/>
      </w:pPr>
      <w:r w:rsidRPr="00304A7E">
        <w:t>Supporting health professionals to provide care that is informed, supported and organised to deliver safe and high-quality care</w:t>
      </w:r>
      <w:r w:rsidR="00D06CFF">
        <w:t>.</w:t>
      </w:r>
    </w:p>
    <w:p w14:paraId="74AFC53D" w14:textId="4F382899" w:rsidR="006A6C58" w:rsidRPr="00304A7E" w:rsidRDefault="006A6C58" w:rsidP="00535706">
      <w:pPr>
        <w:pStyle w:val="ListParagraph"/>
        <w:numPr>
          <w:ilvl w:val="0"/>
          <w:numId w:val="11"/>
        </w:numPr>
        <w:spacing w:after="0"/>
        <w:ind w:left="723"/>
        <w:jc w:val="both"/>
      </w:pPr>
      <w:r w:rsidRPr="00356314">
        <w:rPr>
          <w:b/>
        </w:rPr>
        <w:t xml:space="preserve">Australian Commission on Safety and Quality in Healthcare </w:t>
      </w:r>
      <w:r w:rsidRPr="00304A7E">
        <w:t>have been</w:t>
      </w:r>
      <w:r w:rsidRPr="00356314">
        <w:rPr>
          <w:b/>
        </w:rPr>
        <w:t xml:space="preserve"> </w:t>
      </w:r>
      <w:r w:rsidRPr="00304A7E">
        <w:t>moving towards value-based healthcare</w:t>
      </w:r>
      <w:r w:rsidR="00965123">
        <w:rPr>
          <w:rStyle w:val="EndnoteReference"/>
        </w:rPr>
        <w:endnoteReference w:id="43"/>
      </w:r>
      <w:r w:rsidRPr="00304A7E">
        <w:t xml:space="preserve"> by</w:t>
      </w:r>
      <w:r w:rsidR="00F655DF" w:rsidRPr="00304A7E">
        <w:t xml:space="preserve"> fostering system change in five key areas to</w:t>
      </w:r>
      <w:r w:rsidRPr="00304A7E">
        <w:t>:</w:t>
      </w:r>
    </w:p>
    <w:p w14:paraId="6F12A2D5" w14:textId="73838102" w:rsidR="006A6C58" w:rsidRPr="00304A7E" w:rsidRDefault="006A6C58" w:rsidP="00535706">
      <w:pPr>
        <w:pStyle w:val="ListParagraph"/>
        <w:numPr>
          <w:ilvl w:val="1"/>
          <w:numId w:val="11"/>
        </w:numPr>
        <w:spacing w:after="0"/>
        <w:ind w:left="1069"/>
        <w:jc w:val="both"/>
      </w:pPr>
      <w:r w:rsidRPr="00304A7E">
        <w:t xml:space="preserve">Focus on people: understanding </w:t>
      </w:r>
      <w:r w:rsidR="00F655DF" w:rsidRPr="00304A7E">
        <w:t xml:space="preserve">and responding to </w:t>
      </w:r>
      <w:r w:rsidRPr="00304A7E">
        <w:t>what matters to consumers and staff</w:t>
      </w:r>
      <w:r w:rsidR="00D06CFF">
        <w:t>;</w:t>
      </w:r>
    </w:p>
    <w:p w14:paraId="1FA9D6C6" w14:textId="16C44F43" w:rsidR="006A6C58" w:rsidRPr="00304A7E" w:rsidRDefault="006A6C58" w:rsidP="00535706">
      <w:pPr>
        <w:pStyle w:val="ListParagraph"/>
        <w:numPr>
          <w:ilvl w:val="1"/>
          <w:numId w:val="11"/>
        </w:numPr>
        <w:spacing w:after="0"/>
        <w:ind w:left="1069"/>
        <w:jc w:val="both"/>
      </w:pPr>
      <w:r w:rsidRPr="00304A7E">
        <w:t>Measure and report on safety and quality: using data to identify, monitor and report on patient experience and outcomes, staff ex</w:t>
      </w:r>
      <w:r w:rsidR="00F655DF" w:rsidRPr="00304A7E">
        <w:t>perience, costs and variation in</w:t>
      </w:r>
      <w:r w:rsidRPr="00304A7E">
        <w:t xml:space="preserve"> practice</w:t>
      </w:r>
      <w:r w:rsidR="00D06CFF">
        <w:t>;</w:t>
      </w:r>
    </w:p>
    <w:p w14:paraId="3738DF34" w14:textId="24F73AA7" w:rsidR="006A6C58" w:rsidRPr="00304A7E" w:rsidRDefault="00F655DF" w:rsidP="00535706">
      <w:pPr>
        <w:pStyle w:val="ListParagraph"/>
        <w:numPr>
          <w:ilvl w:val="1"/>
          <w:numId w:val="11"/>
        </w:numPr>
        <w:spacing w:after="0"/>
        <w:ind w:left="1069"/>
        <w:jc w:val="both"/>
      </w:pPr>
      <w:r w:rsidRPr="00304A7E">
        <w:t>Use</w:t>
      </w:r>
      <w:r w:rsidR="006A6C58" w:rsidRPr="00304A7E">
        <w:t xml:space="preserve"> evidence-based guidance and policy: using evidence to inform clinical practice and improvement</w:t>
      </w:r>
      <w:r w:rsidR="00D06CFF">
        <w:t>;</w:t>
      </w:r>
    </w:p>
    <w:p w14:paraId="4CD39A8A" w14:textId="365B2CAE" w:rsidR="006A6C58" w:rsidRPr="00304A7E" w:rsidRDefault="006A6C58" w:rsidP="00535706">
      <w:pPr>
        <w:pStyle w:val="ListParagraph"/>
        <w:numPr>
          <w:ilvl w:val="1"/>
          <w:numId w:val="11"/>
        </w:numPr>
        <w:spacing w:after="0"/>
        <w:ind w:left="1069"/>
        <w:jc w:val="both"/>
      </w:pPr>
      <w:r w:rsidRPr="00304A7E">
        <w:t>Strengthen clinical governance: embedding accountability and strategies for safety and quality within organisational structures</w:t>
      </w:r>
      <w:r w:rsidR="00D06CFF">
        <w:t>;</w:t>
      </w:r>
    </w:p>
    <w:p w14:paraId="7B257924" w14:textId="6BAC9D75" w:rsidR="00F655DF" w:rsidRPr="00304A7E" w:rsidRDefault="00F655DF" w:rsidP="00535706">
      <w:pPr>
        <w:pStyle w:val="ListParagraph"/>
        <w:numPr>
          <w:ilvl w:val="1"/>
          <w:numId w:val="11"/>
        </w:numPr>
        <w:spacing w:after="0"/>
        <w:ind w:left="1069"/>
        <w:jc w:val="both"/>
      </w:pPr>
      <w:r w:rsidRPr="00304A7E">
        <w:t>Embed safety and quality into national systems: using information and knowledge about safety and quality to inform national systems</w:t>
      </w:r>
      <w:r w:rsidR="00D06CFF">
        <w:t>.</w:t>
      </w:r>
    </w:p>
    <w:p w14:paraId="4D1B4F89" w14:textId="3F499F13" w:rsidR="00866295" w:rsidRPr="00304A7E" w:rsidRDefault="00866295" w:rsidP="00535706">
      <w:pPr>
        <w:pStyle w:val="ListParagraph"/>
        <w:numPr>
          <w:ilvl w:val="0"/>
          <w:numId w:val="11"/>
        </w:numPr>
        <w:ind w:left="723"/>
        <w:jc w:val="both"/>
      </w:pPr>
      <w:r w:rsidRPr="00304A7E">
        <w:rPr>
          <w:b/>
        </w:rPr>
        <w:t>National Healthcare Agreement 2019</w:t>
      </w:r>
      <w:r w:rsidR="00965123" w:rsidRPr="00965123">
        <w:rPr>
          <w:rStyle w:val="EndnoteReference"/>
        </w:rPr>
        <w:endnoteReference w:id="44"/>
      </w:r>
      <w:r w:rsidRPr="00304A7E">
        <w:rPr>
          <w:b/>
        </w:rPr>
        <w:t xml:space="preserve"> </w:t>
      </w:r>
      <w:r w:rsidRPr="00304A7E">
        <w:t>affirms the ag</w:t>
      </w:r>
      <w:r w:rsidR="00FE612A">
        <w:t xml:space="preserve">reement of all governments that </w:t>
      </w:r>
      <w:r w:rsidRPr="00304A7E">
        <w:t>Australia’s health system should:</w:t>
      </w:r>
    </w:p>
    <w:p w14:paraId="3467E2E5" w14:textId="1984F975" w:rsidR="00866295" w:rsidRPr="00304A7E" w:rsidRDefault="00866295" w:rsidP="00535706">
      <w:pPr>
        <w:pStyle w:val="ListParagraph"/>
        <w:numPr>
          <w:ilvl w:val="1"/>
          <w:numId w:val="11"/>
        </w:numPr>
        <w:spacing w:after="0"/>
        <w:ind w:left="1069"/>
        <w:jc w:val="both"/>
      </w:pPr>
      <w:r w:rsidRPr="00304A7E">
        <w:t>Be shaped around the health needs of the individual patients, their families and communities</w:t>
      </w:r>
      <w:r w:rsidR="00D06CFF">
        <w:t>;</w:t>
      </w:r>
    </w:p>
    <w:p w14:paraId="79A35F82" w14:textId="5D8DC481" w:rsidR="00866295" w:rsidRPr="00304A7E" w:rsidRDefault="00866295" w:rsidP="00535706">
      <w:pPr>
        <w:pStyle w:val="ListParagraph"/>
        <w:numPr>
          <w:ilvl w:val="1"/>
          <w:numId w:val="11"/>
        </w:numPr>
        <w:spacing w:after="0"/>
        <w:ind w:left="1069"/>
        <w:jc w:val="both"/>
      </w:pPr>
      <w:r w:rsidRPr="00304A7E">
        <w:t>Focus on the prevention of disease and injury and the maintenance of health, not simply the treatment of the illness</w:t>
      </w:r>
      <w:r w:rsidR="00D06CFF">
        <w:t>;</w:t>
      </w:r>
    </w:p>
    <w:p w14:paraId="4604F485" w14:textId="7DE6F7FC" w:rsidR="00866295" w:rsidRPr="00304A7E" w:rsidRDefault="00866295" w:rsidP="00535706">
      <w:pPr>
        <w:pStyle w:val="ListParagraph"/>
        <w:numPr>
          <w:ilvl w:val="1"/>
          <w:numId w:val="11"/>
        </w:numPr>
        <w:spacing w:after="0"/>
        <w:ind w:left="1069"/>
        <w:jc w:val="both"/>
      </w:pPr>
      <w:r w:rsidRPr="00304A7E">
        <w:t>Support an integrated approach to the promotion of healthy lifestyles, prevention of illness and injury, and diagnosis and treatment of illness across the continuum of care</w:t>
      </w:r>
      <w:r w:rsidR="00D06CFF">
        <w:t>;</w:t>
      </w:r>
    </w:p>
    <w:p w14:paraId="5AA987AB" w14:textId="379DC7CD" w:rsidR="00866295" w:rsidRPr="00304A7E" w:rsidRDefault="00866295" w:rsidP="00535706">
      <w:pPr>
        <w:pStyle w:val="ListParagraph"/>
        <w:numPr>
          <w:ilvl w:val="1"/>
          <w:numId w:val="11"/>
        </w:numPr>
        <w:spacing w:after="0"/>
        <w:ind w:left="1069"/>
        <w:jc w:val="both"/>
      </w:pPr>
      <w:r w:rsidRPr="00304A7E">
        <w:t>Provide all Australians with timely access to quality health services based on their needs, not ability to pay, regardless of where they live in Australia</w:t>
      </w:r>
      <w:r w:rsidR="00D06CFF">
        <w:t>;</w:t>
      </w:r>
    </w:p>
    <w:p w14:paraId="79A61433" w14:textId="65E34BA4" w:rsidR="00DE4CAE" w:rsidRPr="00304A7E" w:rsidRDefault="00503A88" w:rsidP="00535706">
      <w:pPr>
        <w:pStyle w:val="ListParagraph"/>
        <w:numPr>
          <w:ilvl w:val="1"/>
          <w:numId w:val="11"/>
        </w:numPr>
        <w:spacing w:after="0"/>
        <w:ind w:left="1069"/>
        <w:jc w:val="both"/>
      </w:pPr>
      <w:r w:rsidRPr="00304A7E">
        <w:t xml:space="preserve">Furthermore, negotiations for a new </w:t>
      </w:r>
      <w:r w:rsidR="00F6217C">
        <w:t>five</w:t>
      </w:r>
      <w:r w:rsidRPr="00304A7E">
        <w:t xml:space="preserve"> year national heath agreement to commence 1 July 2020 and conclude on 30 June 2025 include four strategic priorities to reform our health system</w:t>
      </w:r>
      <w:r w:rsidR="00965123">
        <w:rPr>
          <w:rStyle w:val="EndnoteReference"/>
        </w:rPr>
        <w:endnoteReference w:id="45"/>
      </w:r>
      <w:r w:rsidRPr="00304A7E">
        <w:t>:</w:t>
      </w:r>
    </w:p>
    <w:p w14:paraId="3D391C28" w14:textId="0F796229" w:rsidR="00503A88" w:rsidRPr="00304A7E" w:rsidRDefault="00503A88" w:rsidP="004D40F5">
      <w:pPr>
        <w:pStyle w:val="ListParagraph"/>
        <w:numPr>
          <w:ilvl w:val="2"/>
          <w:numId w:val="11"/>
        </w:numPr>
        <w:ind w:left="1437"/>
        <w:jc w:val="both"/>
      </w:pPr>
      <w:r w:rsidRPr="00304A7E">
        <w:t>Improving efficiency and ensuring financial sustainability</w:t>
      </w:r>
    </w:p>
    <w:p w14:paraId="3EB782EE" w14:textId="497A2238" w:rsidR="00503A88" w:rsidRPr="00304A7E" w:rsidRDefault="00503A88" w:rsidP="004D40F5">
      <w:pPr>
        <w:pStyle w:val="ListParagraph"/>
        <w:numPr>
          <w:ilvl w:val="2"/>
          <w:numId w:val="11"/>
        </w:numPr>
        <w:ind w:left="1437"/>
        <w:jc w:val="both"/>
      </w:pPr>
      <w:r w:rsidRPr="00304A7E">
        <w:t>Delivering safe, high quality healthcare in the right place and the right time</w:t>
      </w:r>
    </w:p>
    <w:p w14:paraId="6D7FA093" w14:textId="7C8CEAD4" w:rsidR="00503A88" w:rsidRPr="00304A7E" w:rsidRDefault="00503A88" w:rsidP="004D40F5">
      <w:pPr>
        <w:pStyle w:val="ListParagraph"/>
        <w:numPr>
          <w:ilvl w:val="2"/>
          <w:numId w:val="11"/>
        </w:numPr>
        <w:ind w:left="1437"/>
        <w:jc w:val="both"/>
      </w:pPr>
      <w:r w:rsidRPr="00304A7E">
        <w:t>Prioritising prevention and helping people manage their health across their lifetime; and</w:t>
      </w:r>
    </w:p>
    <w:p w14:paraId="6E065A86" w14:textId="1E32CDDD" w:rsidR="00503A88" w:rsidRPr="00304A7E" w:rsidRDefault="00503A88" w:rsidP="004D40F5">
      <w:pPr>
        <w:pStyle w:val="ListParagraph"/>
        <w:numPr>
          <w:ilvl w:val="2"/>
          <w:numId w:val="11"/>
        </w:numPr>
        <w:ind w:left="1437"/>
        <w:jc w:val="both"/>
      </w:pPr>
      <w:r w:rsidRPr="00304A7E">
        <w:t>Driving best practice and performance using data and research</w:t>
      </w:r>
      <w:r w:rsidR="00D06CFF">
        <w:t>.</w:t>
      </w:r>
    </w:p>
    <w:p w14:paraId="6A9F2D12" w14:textId="047987B6" w:rsidR="008310AC" w:rsidRPr="00304A7E" w:rsidRDefault="0076134A" w:rsidP="00535706">
      <w:pPr>
        <w:pStyle w:val="ListParagraph"/>
        <w:numPr>
          <w:ilvl w:val="0"/>
          <w:numId w:val="11"/>
        </w:numPr>
        <w:ind w:left="723"/>
        <w:jc w:val="both"/>
      </w:pPr>
      <w:r w:rsidRPr="00304A7E">
        <w:rPr>
          <w:b/>
        </w:rPr>
        <w:t xml:space="preserve">Australian Government Department of Health </w:t>
      </w:r>
      <w:r w:rsidRPr="00304A7E">
        <w:t>10 year health plan</w:t>
      </w:r>
      <w:r w:rsidR="00965123">
        <w:rPr>
          <w:rStyle w:val="EndnoteReference"/>
        </w:rPr>
        <w:endnoteReference w:id="46"/>
      </w:r>
      <w:r w:rsidRPr="00304A7E">
        <w:t xml:space="preserve"> based on key pil</w:t>
      </w:r>
      <w:r w:rsidR="00FE612A">
        <w:t xml:space="preserve">lars and </w:t>
      </w:r>
      <w:r w:rsidRPr="00304A7E">
        <w:t>supported by major initiatives including:</w:t>
      </w:r>
    </w:p>
    <w:p w14:paraId="79160222" w14:textId="2A591E28" w:rsidR="0076134A" w:rsidRPr="00304A7E" w:rsidRDefault="0076134A" w:rsidP="00E139DA">
      <w:pPr>
        <w:pStyle w:val="ListParagraph"/>
        <w:numPr>
          <w:ilvl w:val="1"/>
          <w:numId w:val="11"/>
        </w:numPr>
        <w:spacing w:after="0"/>
        <w:ind w:left="1069"/>
        <w:jc w:val="both"/>
      </w:pPr>
      <w:r w:rsidRPr="00304A7E">
        <w:t>Guaranteeing Medicare and improving access to medicines</w:t>
      </w:r>
      <w:r w:rsidR="00D06CFF">
        <w:t>;</w:t>
      </w:r>
    </w:p>
    <w:p w14:paraId="3FDA516F" w14:textId="74659DA7" w:rsidR="0076134A" w:rsidRPr="00304A7E" w:rsidRDefault="0076134A" w:rsidP="00E139DA">
      <w:pPr>
        <w:pStyle w:val="ListParagraph"/>
        <w:numPr>
          <w:ilvl w:val="1"/>
          <w:numId w:val="11"/>
        </w:numPr>
        <w:spacing w:after="0"/>
        <w:ind w:left="1069"/>
        <w:jc w:val="both"/>
      </w:pPr>
      <w:r w:rsidRPr="00304A7E">
        <w:t>Supporting our hospitals</w:t>
      </w:r>
      <w:r w:rsidR="00D06CFF">
        <w:t>;</w:t>
      </w:r>
    </w:p>
    <w:p w14:paraId="01062741" w14:textId="03F27F42" w:rsidR="0076134A" w:rsidRPr="00304A7E" w:rsidRDefault="0076134A" w:rsidP="00E139DA">
      <w:pPr>
        <w:pStyle w:val="ListParagraph"/>
        <w:numPr>
          <w:ilvl w:val="1"/>
          <w:numId w:val="11"/>
        </w:numPr>
        <w:spacing w:after="0"/>
        <w:ind w:left="1069"/>
        <w:jc w:val="both"/>
      </w:pPr>
      <w:r w:rsidRPr="00304A7E">
        <w:t>Prioritising mental health and preventative health</w:t>
      </w:r>
      <w:r w:rsidR="00D06CFF">
        <w:t>;</w:t>
      </w:r>
    </w:p>
    <w:p w14:paraId="75C5970B" w14:textId="1C4DB0F9" w:rsidR="0076134A" w:rsidRPr="00304A7E" w:rsidRDefault="0076134A" w:rsidP="00E139DA">
      <w:pPr>
        <w:pStyle w:val="ListParagraph"/>
        <w:numPr>
          <w:ilvl w:val="1"/>
          <w:numId w:val="11"/>
        </w:numPr>
        <w:spacing w:after="0"/>
        <w:ind w:left="1069"/>
        <w:jc w:val="both"/>
      </w:pPr>
      <w:r w:rsidRPr="00304A7E">
        <w:t>Life-saving and job creating medical research</w:t>
      </w:r>
      <w:r w:rsidR="00D06CFF">
        <w:t>;</w:t>
      </w:r>
    </w:p>
    <w:p w14:paraId="1FA0EDE3" w14:textId="2B59EDEA" w:rsidR="0076134A" w:rsidRPr="00304A7E" w:rsidRDefault="0076134A" w:rsidP="00E139DA">
      <w:pPr>
        <w:pStyle w:val="ListParagraph"/>
        <w:numPr>
          <w:ilvl w:val="1"/>
          <w:numId w:val="11"/>
        </w:numPr>
        <w:spacing w:after="0"/>
        <w:ind w:left="1069"/>
        <w:jc w:val="both"/>
      </w:pPr>
      <w:r w:rsidRPr="00304A7E">
        <w:t>Ageing and aged care</w:t>
      </w:r>
      <w:r w:rsidR="00D06CFF">
        <w:t>;</w:t>
      </w:r>
    </w:p>
    <w:p w14:paraId="29CC29F1" w14:textId="2528E918" w:rsidR="0076134A" w:rsidRPr="00304A7E" w:rsidRDefault="0076134A" w:rsidP="00E139DA">
      <w:pPr>
        <w:pStyle w:val="ListParagraph"/>
        <w:numPr>
          <w:ilvl w:val="1"/>
          <w:numId w:val="11"/>
        </w:numPr>
        <w:spacing w:after="0"/>
        <w:ind w:left="1069"/>
        <w:jc w:val="both"/>
      </w:pPr>
      <w:r w:rsidRPr="00304A7E">
        <w:t>A stronger rural health strategy</w:t>
      </w:r>
      <w:r w:rsidR="00D06CFF">
        <w:t>.</w:t>
      </w:r>
    </w:p>
    <w:p w14:paraId="408191E2" w14:textId="1E02FCAA" w:rsidR="00356314" w:rsidRPr="00D06CFF" w:rsidRDefault="00AD7F0D" w:rsidP="00E139DA">
      <w:pPr>
        <w:pStyle w:val="ListParagraph"/>
        <w:numPr>
          <w:ilvl w:val="0"/>
          <w:numId w:val="11"/>
        </w:numPr>
        <w:spacing w:after="0"/>
        <w:ind w:left="723"/>
        <w:jc w:val="both"/>
      </w:pPr>
      <w:r w:rsidRPr="00A26C52">
        <w:t xml:space="preserve">Description of how the proposed service development is aligned to </w:t>
      </w:r>
      <w:r w:rsidR="009D3CCD" w:rsidRPr="00D06CFF">
        <w:t>Local H</w:t>
      </w:r>
      <w:r w:rsidR="00304A7E" w:rsidRPr="00D06CFF">
        <w:t xml:space="preserve">ealth District (LHD) </w:t>
      </w:r>
      <w:r w:rsidR="00F6217C" w:rsidRPr="00D06CFF">
        <w:t xml:space="preserve">or health network </w:t>
      </w:r>
      <w:r w:rsidRPr="00D06CFF">
        <w:t>priorities</w:t>
      </w:r>
      <w:r w:rsidR="00FF673C" w:rsidRPr="00D06CFF">
        <w:t xml:space="preserve"> </w:t>
      </w:r>
    </w:p>
    <w:p w14:paraId="55D87DAC" w14:textId="632E64E6" w:rsidR="00804032" w:rsidRPr="00356314" w:rsidRDefault="005E15BC" w:rsidP="00356314">
      <w:pPr>
        <w:spacing w:after="0"/>
        <w:jc w:val="both"/>
        <w:rPr>
          <w:b/>
        </w:rPr>
      </w:pPr>
      <w:r w:rsidRPr="00356314">
        <w:rPr>
          <w:b/>
        </w:rPr>
        <w:t>Implementation</w:t>
      </w:r>
      <w:r w:rsidR="00804032" w:rsidRPr="00356314">
        <w:rPr>
          <w:b/>
        </w:rPr>
        <w:t>:</w:t>
      </w:r>
    </w:p>
    <w:p w14:paraId="68BC361A" w14:textId="6B074742" w:rsidR="002539A1" w:rsidRDefault="005E15BC" w:rsidP="00E139DA">
      <w:pPr>
        <w:pStyle w:val="ListParagraph"/>
        <w:numPr>
          <w:ilvl w:val="0"/>
          <w:numId w:val="11"/>
        </w:numPr>
        <w:spacing w:after="0"/>
        <w:ind w:left="646" w:hanging="283"/>
        <w:jc w:val="both"/>
      </w:pPr>
      <w:r w:rsidRPr="003F59D6">
        <w:rPr>
          <w:b/>
        </w:rPr>
        <w:t>Clinical governance:</w:t>
      </w:r>
      <w:r w:rsidR="00646272">
        <w:t xml:space="preserve"> In order to develop a multidisciplinary approach to hip fracture care in the particular institution, all relevant disciplines must take an act</w:t>
      </w:r>
      <w:r w:rsidR="00DE5F50">
        <w:t xml:space="preserve">ive role in the development, </w:t>
      </w:r>
      <w:r w:rsidR="00646272">
        <w:t>implementation</w:t>
      </w:r>
      <w:r w:rsidR="00DE5F50">
        <w:t xml:space="preserve"> and ongoing oversight</w:t>
      </w:r>
      <w:r w:rsidR="00646272">
        <w:t xml:space="preserve"> of the new service model. A</w:t>
      </w:r>
      <w:r w:rsidR="005F120F">
        <w:t>ccordingly, based on experience from other countries</w:t>
      </w:r>
      <w:r w:rsidR="00646272">
        <w:t>, a multidisciplinary stakeholder group should be established</w:t>
      </w:r>
      <w:r w:rsidR="005F120F">
        <w:t xml:space="preserve"> from the outset. </w:t>
      </w:r>
      <w:r w:rsidR="00F6217C">
        <w:t>This group must meet regularly for example monthly in the implementation period</w:t>
      </w:r>
      <w:r w:rsidR="00B670F8">
        <w:t>.</w:t>
      </w:r>
    </w:p>
    <w:p w14:paraId="177479D6" w14:textId="67AC4578" w:rsidR="00DE5F50" w:rsidRDefault="00DE5F50" w:rsidP="00E139DA">
      <w:pPr>
        <w:pStyle w:val="ListParagraph"/>
        <w:numPr>
          <w:ilvl w:val="0"/>
          <w:numId w:val="11"/>
        </w:numPr>
        <w:spacing w:after="0"/>
        <w:ind w:left="646" w:hanging="283"/>
        <w:jc w:val="both"/>
      </w:pPr>
      <w:r w:rsidRPr="003F59D6">
        <w:rPr>
          <w:b/>
        </w:rPr>
        <w:t>Continuous quality improvement:</w:t>
      </w:r>
      <w:r>
        <w:t xml:space="preserve"> A range of quality improvement methodologies have been applied to hip fracture care, </w:t>
      </w:r>
      <w:r w:rsidR="00FE6952">
        <w:t>including Plan-Do-Study-Act Cycles</w:t>
      </w:r>
      <w:r w:rsidR="00DE00D0">
        <w:rPr>
          <w:rStyle w:val="EndnoteReference"/>
        </w:rPr>
        <w:endnoteReference w:id="47"/>
      </w:r>
      <w:r w:rsidR="00FE6952">
        <w:t xml:space="preserve"> in accordance with the Institute for Healthcare Improvement (IHI) methodology and </w:t>
      </w:r>
      <w:r w:rsidR="0042547D">
        <w:t>the value stream model known as ‘Lean thinking’</w:t>
      </w:r>
      <w:r w:rsidR="00DE00D0">
        <w:rPr>
          <w:rStyle w:val="EndnoteReference"/>
        </w:rPr>
        <w:endnoteReference w:id="48"/>
      </w:r>
      <w:r w:rsidR="0042547D">
        <w:t>.</w:t>
      </w:r>
      <w:r w:rsidR="00057CCE">
        <w:t xml:space="preserve"> Utilisation of such an approach should be considered by </w:t>
      </w:r>
      <w:r w:rsidR="00387FA6">
        <w:t xml:space="preserve">the </w:t>
      </w:r>
      <w:r w:rsidR="00057CCE">
        <w:t>multidisciplinary stakeholder group.</w:t>
      </w:r>
    </w:p>
    <w:p w14:paraId="4E534888" w14:textId="3DC79F3F" w:rsidR="006A760D" w:rsidRDefault="0042547D" w:rsidP="00E139DA">
      <w:pPr>
        <w:pStyle w:val="ListParagraph"/>
        <w:numPr>
          <w:ilvl w:val="0"/>
          <w:numId w:val="11"/>
        </w:numPr>
        <w:spacing w:after="0"/>
        <w:ind w:left="646" w:hanging="283"/>
        <w:jc w:val="both"/>
      </w:pPr>
      <w:r>
        <w:rPr>
          <w:b/>
        </w:rPr>
        <w:t>Participation in the ANZ</w:t>
      </w:r>
      <w:r w:rsidR="00F6217C">
        <w:rPr>
          <w:b/>
        </w:rPr>
        <w:t>HFR</w:t>
      </w:r>
      <w:r>
        <w:rPr>
          <w:b/>
        </w:rPr>
        <w:t>:</w:t>
      </w:r>
      <w:r>
        <w:t xml:space="preserve"> </w:t>
      </w:r>
      <w:r w:rsidR="00057CCE">
        <w:t>The ANZ</w:t>
      </w:r>
      <w:r w:rsidR="00F6217C">
        <w:t xml:space="preserve">HFR </w:t>
      </w:r>
      <w:r w:rsidR="00057CCE">
        <w:t xml:space="preserve">is now </w:t>
      </w:r>
      <w:r w:rsidR="001033B2">
        <w:t>able to be fully implemented acros</w:t>
      </w:r>
      <w:r w:rsidR="005F120F">
        <w:t xml:space="preserve">s New Zealand public hospitals. </w:t>
      </w:r>
      <w:r w:rsidR="00057CCE" w:rsidRPr="00483AC4">
        <w:t xml:space="preserve">To date, </w:t>
      </w:r>
      <w:r w:rsidR="00F6217C">
        <w:t>22</w:t>
      </w:r>
      <w:r w:rsidR="00F6217C" w:rsidRPr="00483AC4">
        <w:t xml:space="preserve"> </w:t>
      </w:r>
      <w:r w:rsidR="00057CCE" w:rsidRPr="00483AC4">
        <w:t>hospitals</w:t>
      </w:r>
      <w:r w:rsidR="00F46643" w:rsidRPr="00483AC4">
        <w:t xml:space="preserve"> in New Zealand</w:t>
      </w:r>
      <w:r w:rsidR="008D50E3" w:rsidRPr="00483AC4">
        <w:t xml:space="preserve"> and </w:t>
      </w:r>
      <w:r w:rsidR="00F6217C">
        <w:t>64</w:t>
      </w:r>
      <w:r w:rsidR="00F6217C" w:rsidRPr="00483AC4">
        <w:t xml:space="preserve"> </w:t>
      </w:r>
      <w:r w:rsidR="007A4480" w:rsidRPr="00483AC4">
        <w:t>hospitals in Australia</w:t>
      </w:r>
      <w:r w:rsidR="00057CCE" w:rsidRPr="00483AC4">
        <w:t xml:space="preserve"> are participating in</w:t>
      </w:r>
      <w:r w:rsidR="00057CCE" w:rsidRPr="008D50E3">
        <w:t xml:space="preserve"> the</w:t>
      </w:r>
      <w:r w:rsidR="00A54344">
        <w:t xml:space="preserve"> ANZ</w:t>
      </w:r>
      <w:r w:rsidR="007A4480" w:rsidRPr="008D50E3">
        <w:t>HFR. The</w:t>
      </w:r>
      <w:r w:rsidR="007A4480">
        <w:t xml:space="preserve"> ANZHFR</w:t>
      </w:r>
      <w:r w:rsidR="00394CE0">
        <w:t xml:space="preserve"> </w:t>
      </w:r>
      <w:r w:rsidR="00394CE0" w:rsidRPr="00394CE0">
        <w:t>collects patient data from participating hospitals which is then used for the annual bi-national report and provides real-time reporting on hospital data with comparisons against the country av</w:t>
      </w:r>
      <w:r w:rsidR="00394CE0">
        <w:t>erage, using measures from the Clinical Care S</w:t>
      </w:r>
      <w:r w:rsidR="00394CE0" w:rsidRPr="00394CE0">
        <w:t>tandard.</w:t>
      </w:r>
      <w:r w:rsidR="005C672E">
        <w:t xml:space="preserve"> </w:t>
      </w:r>
      <w:r w:rsidR="001033B2">
        <w:t>The data can be used to inform ongoing quality improvement in the delivery of hip fracture care.</w:t>
      </w:r>
    </w:p>
    <w:p w14:paraId="2B7C0CFC" w14:textId="77777777" w:rsidR="006043E3" w:rsidRDefault="006043E3">
      <w:pPr>
        <w:rPr>
          <w:rFonts w:asciiTheme="majorHAnsi" w:eastAsiaTheme="majorEastAsia" w:hAnsiTheme="majorHAnsi" w:cstheme="majorBidi"/>
          <w:color w:val="2E74B5" w:themeColor="accent1" w:themeShade="BF"/>
          <w:sz w:val="32"/>
          <w:szCs w:val="32"/>
        </w:rPr>
      </w:pPr>
      <w:r>
        <w:br w:type="page"/>
      </w:r>
    </w:p>
    <w:p w14:paraId="1C0E3B3C" w14:textId="226C300C" w:rsidR="00E9763F" w:rsidRPr="00CE2EF6" w:rsidRDefault="00E9763F" w:rsidP="00CE2EF6">
      <w:pPr>
        <w:pStyle w:val="Heading1"/>
        <w:jc w:val="both"/>
      </w:pPr>
      <w:bookmarkStart w:id="15" w:name="_Toc21443860"/>
      <w:r w:rsidRPr="00CE2EF6">
        <w:t>Other useful resources</w:t>
      </w:r>
      <w:bookmarkEnd w:id="15"/>
    </w:p>
    <w:p w14:paraId="69032A3C" w14:textId="52473C72" w:rsidR="00E9763F" w:rsidRDefault="00E9763F" w:rsidP="00046F30">
      <w:pPr>
        <w:spacing w:after="0"/>
        <w:jc w:val="both"/>
      </w:pPr>
      <w:r>
        <w:t>In addition to the various resources described above, the authors of the business pl</w:t>
      </w:r>
      <w:r w:rsidR="00A01F09">
        <w:t>an may find the comprehensive suite of web-based resources from the</w:t>
      </w:r>
      <w:r w:rsidR="009F4F29">
        <w:t xml:space="preserve"> following organisations useful</w:t>
      </w:r>
      <w:r w:rsidR="00356314">
        <w:t>.</w:t>
      </w:r>
    </w:p>
    <w:p w14:paraId="2A37CF16" w14:textId="67D29774" w:rsidR="00A06367" w:rsidRPr="00356314" w:rsidRDefault="00A06367" w:rsidP="003665FA">
      <w:pPr>
        <w:pStyle w:val="ListParagraph"/>
        <w:numPr>
          <w:ilvl w:val="0"/>
          <w:numId w:val="27"/>
        </w:numPr>
        <w:spacing w:after="0"/>
        <w:ind w:left="363" w:hanging="357"/>
        <w:jc w:val="both"/>
        <w:rPr>
          <w:rStyle w:val="Hyperlink"/>
          <w:color w:val="auto"/>
          <w:u w:val="none"/>
        </w:rPr>
      </w:pPr>
      <w:r w:rsidRPr="00A06367">
        <w:rPr>
          <w:b/>
        </w:rPr>
        <w:t>Australian and New Zealand Hip Fracture Registry (ANZHFR):</w:t>
      </w:r>
      <w:r>
        <w:t xml:space="preserve"> To lear</w:t>
      </w:r>
      <w:r w:rsidR="00356314">
        <w:t xml:space="preserve">n more about the ANZHFR, visit </w:t>
      </w:r>
      <w:hyperlink r:id="rId16" w:history="1">
        <w:r w:rsidRPr="006C5991">
          <w:rPr>
            <w:rStyle w:val="Hyperlink"/>
          </w:rPr>
          <w:t>www.anzhfr.org</w:t>
        </w:r>
      </w:hyperlink>
    </w:p>
    <w:p w14:paraId="15092931" w14:textId="77777777" w:rsidR="00356314" w:rsidRDefault="00356314" w:rsidP="003665FA">
      <w:pPr>
        <w:pStyle w:val="ListParagraph"/>
        <w:spacing w:after="0"/>
        <w:ind w:left="363"/>
        <w:jc w:val="both"/>
      </w:pPr>
    </w:p>
    <w:p w14:paraId="021AC863" w14:textId="2AE482BC" w:rsidR="00A06367" w:rsidRDefault="00356314" w:rsidP="003665FA">
      <w:pPr>
        <w:pStyle w:val="ListParagraph"/>
        <w:numPr>
          <w:ilvl w:val="0"/>
          <w:numId w:val="27"/>
        </w:numPr>
        <w:spacing w:after="0"/>
        <w:ind w:left="363"/>
        <w:jc w:val="both"/>
      </w:pPr>
      <w:r>
        <w:t>t</w:t>
      </w:r>
      <w:r w:rsidR="00A06367">
        <w:t xml:space="preserve">o learn more about the </w:t>
      </w:r>
      <w:r w:rsidR="00A06367" w:rsidRPr="00EE09C2">
        <w:rPr>
          <w:b/>
        </w:rPr>
        <w:t>Hip Fracture Care Clinical Care Standard</w:t>
      </w:r>
      <w:r w:rsidR="00EE09C2">
        <w:t>, go to:</w:t>
      </w:r>
    </w:p>
    <w:p w14:paraId="5763E6BF" w14:textId="173EC224" w:rsidR="00356314" w:rsidRDefault="00297B41" w:rsidP="003665FA">
      <w:pPr>
        <w:pStyle w:val="ListParagraph"/>
        <w:spacing w:after="0"/>
        <w:ind w:left="363"/>
        <w:jc w:val="both"/>
        <w:rPr>
          <w:rStyle w:val="Hyperlink"/>
        </w:rPr>
      </w:pPr>
      <w:hyperlink r:id="rId17" w:history="1">
        <w:r w:rsidR="00EE09C2">
          <w:rPr>
            <w:rStyle w:val="Hyperlink"/>
          </w:rPr>
          <w:t>https://www.safetyandquality.gov.au/our-work/clinical-care-standards/hip-fracture-care-clinical-care-standard</w:t>
        </w:r>
      </w:hyperlink>
    </w:p>
    <w:p w14:paraId="5DAA9D31" w14:textId="77777777" w:rsidR="00356314" w:rsidRPr="00356314" w:rsidRDefault="00356314" w:rsidP="003665FA">
      <w:pPr>
        <w:pStyle w:val="ListParagraph"/>
        <w:spacing w:after="0"/>
        <w:ind w:left="363"/>
        <w:jc w:val="both"/>
        <w:rPr>
          <w:color w:val="0563C1" w:themeColor="hyperlink"/>
          <w:u w:val="single"/>
        </w:rPr>
      </w:pPr>
    </w:p>
    <w:p w14:paraId="1E65C6CE" w14:textId="4301B29C" w:rsidR="00106FD5" w:rsidRDefault="00A54344" w:rsidP="003665FA">
      <w:pPr>
        <w:pStyle w:val="ListParagraph"/>
        <w:numPr>
          <w:ilvl w:val="0"/>
          <w:numId w:val="18"/>
        </w:numPr>
        <w:spacing w:after="0"/>
        <w:ind w:left="363"/>
        <w:jc w:val="both"/>
      </w:pPr>
      <w:r w:rsidRPr="004F2E07">
        <w:rPr>
          <w:b/>
        </w:rPr>
        <w:t>Australian Commission on Safety and Quality in Health Care</w:t>
      </w:r>
      <w:r w:rsidR="004F2E07">
        <w:rPr>
          <w:b/>
        </w:rPr>
        <w:t xml:space="preserve"> (ACSQHC)</w:t>
      </w:r>
      <w:r w:rsidRPr="004F2E07">
        <w:rPr>
          <w:b/>
        </w:rPr>
        <w:t xml:space="preserve">: </w:t>
      </w:r>
      <w:r w:rsidR="00496752" w:rsidRPr="00A26C52">
        <w:t xml:space="preserve">The </w:t>
      </w:r>
      <w:r w:rsidRPr="00A26C52">
        <w:t xml:space="preserve">First Australian </w:t>
      </w:r>
      <w:r w:rsidR="00496752" w:rsidRPr="00A26C52">
        <w:t xml:space="preserve">Atlas of Healthcare Variation </w:t>
      </w:r>
      <w:r w:rsidRPr="00A26C52">
        <w:t>2015 developed by ACSQHC has a surgical interventions</w:t>
      </w:r>
      <w:r w:rsidR="00496752" w:rsidRPr="00A26C52">
        <w:t xml:space="preserve"> domain. The Atlas provides information on hip fracture care</w:t>
      </w:r>
      <w:r w:rsidRPr="00A26C52">
        <w:t xml:space="preserve"> regarding hospital admissions and average length of stay by peer group</w:t>
      </w:r>
      <w:r w:rsidR="001B3BDE" w:rsidRPr="00A26C52">
        <w:t>- 65 years and over</w:t>
      </w:r>
      <w:r w:rsidR="00496752" w:rsidRPr="00A26C52">
        <w:t>. Read more at:</w:t>
      </w:r>
    </w:p>
    <w:p w14:paraId="0E2ABCA2" w14:textId="4324A0FF" w:rsidR="00EE09C2" w:rsidRDefault="00297B41" w:rsidP="003665FA">
      <w:pPr>
        <w:pStyle w:val="ListParagraph"/>
        <w:spacing w:after="0"/>
        <w:ind w:left="363"/>
        <w:jc w:val="both"/>
        <w:rPr>
          <w:rStyle w:val="Hyperlink"/>
        </w:rPr>
      </w:pPr>
      <w:hyperlink r:id="rId18" w:history="1">
        <w:r w:rsidR="001B3BDE">
          <w:rPr>
            <w:rStyle w:val="Hyperlink"/>
          </w:rPr>
          <w:t>https://www.safetyandquality.gov.au/our-work/healthcare-variation/atlas-2015/atlas-2015-3-surgical-interventions</w:t>
        </w:r>
      </w:hyperlink>
    </w:p>
    <w:p w14:paraId="6F4120E3" w14:textId="77777777" w:rsidR="00356314" w:rsidRPr="00106FD5" w:rsidRDefault="00356314" w:rsidP="003665FA">
      <w:pPr>
        <w:pStyle w:val="ListParagraph"/>
        <w:spacing w:after="0"/>
        <w:ind w:left="363"/>
        <w:jc w:val="both"/>
        <w:rPr>
          <w:rStyle w:val="Hyperlink"/>
        </w:rPr>
      </w:pPr>
    </w:p>
    <w:p w14:paraId="153440FA" w14:textId="77777777" w:rsidR="00106FD5" w:rsidRDefault="00106FD5" w:rsidP="003665FA">
      <w:pPr>
        <w:pStyle w:val="ListParagraph"/>
        <w:numPr>
          <w:ilvl w:val="0"/>
          <w:numId w:val="26"/>
        </w:numPr>
        <w:spacing w:after="0"/>
        <w:ind w:left="363"/>
        <w:jc w:val="both"/>
      </w:pPr>
      <w:r w:rsidRPr="00496752">
        <w:rPr>
          <w:b/>
        </w:rPr>
        <w:t>Health Quality &amp; Safety Commission New Zealand (HQSC):</w:t>
      </w:r>
      <w:r>
        <w:t xml:space="preserve"> The Atlas of Healthcare Variation developed by HQSC has a falls domain. The Atlas provides information on hip fracture care for all DHBs. Read more at:</w:t>
      </w:r>
    </w:p>
    <w:p w14:paraId="2E472BDA" w14:textId="0FAA7123" w:rsidR="00BD1A9E" w:rsidRDefault="00297B41" w:rsidP="003665FA">
      <w:pPr>
        <w:pStyle w:val="ListParagraph"/>
        <w:spacing w:after="0"/>
        <w:ind w:left="363"/>
        <w:jc w:val="both"/>
        <w:rPr>
          <w:rStyle w:val="Hyperlink"/>
        </w:rPr>
      </w:pPr>
      <w:hyperlink r:id="rId19" w:history="1">
        <w:r w:rsidR="00106FD5" w:rsidRPr="00CE402A">
          <w:rPr>
            <w:rStyle w:val="Hyperlink"/>
          </w:rPr>
          <w:t>http://www.hqsc.govt.nz/our-programmes/health-quality-evaluation/projects/atlas-of-healthcare-variation/falls/</w:t>
        </w:r>
      </w:hyperlink>
    </w:p>
    <w:p w14:paraId="18C31346" w14:textId="77777777" w:rsidR="00356314" w:rsidRPr="00356314" w:rsidRDefault="00356314" w:rsidP="003665FA">
      <w:pPr>
        <w:pStyle w:val="ListParagraph"/>
        <w:spacing w:after="0"/>
        <w:ind w:left="363"/>
        <w:jc w:val="both"/>
        <w:rPr>
          <w:color w:val="0563C1" w:themeColor="hyperlink"/>
          <w:u w:val="single"/>
        </w:rPr>
      </w:pPr>
    </w:p>
    <w:p w14:paraId="68639C06" w14:textId="374522CC" w:rsidR="00EE09C2" w:rsidRDefault="00EE09C2" w:rsidP="003665FA">
      <w:pPr>
        <w:pStyle w:val="ListParagraph"/>
        <w:numPr>
          <w:ilvl w:val="0"/>
          <w:numId w:val="18"/>
        </w:numPr>
        <w:spacing w:after="0"/>
        <w:ind w:left="363"/>
        <w:jc w:val="both"/>
      </w:pPr>
      <w:r w:rsidRPr="005A0720">
        <w:rPr>
          <w:b/>
        </w:rPr>
        <w:t>HQSC Reducing Harm from Falls</w:t>
      </w:r>
      <w:r>
        <w:t>: to read more about a new website for older New Zealanders with a focus on reducing the incidence and severity of falls and fractures, please visit:</w:t>
      </w:r>
    </w:p>
    <w:p w14:paraId="0DA660EB" w14:textId="62CB8D84" w:rsidR="00EE09C2" w:rsidRDefault="00297B41" w:rsidP="003665FA">
      <w:pPr>
        <w:pStyle w:val="ListParagraph"/>
        <w:spacing w:after="0"/>
        <w:ind w:left="363"/>
        <w:jc w:val="both"/>
        <w:rPr>
          <w:rStyle w:val="Hyperlink"/>
        </w:rPr>
      </w:pPr>
      <w:hyperlink r:id="rId20" w:history="1">
        <w:r w:rsidR="00EE09C2">
          <w:rPr>
            <w:rStyle w:val="Hyperlink"/>
          </w:rPr>
          <w:t>https://www.hqsc.govt.nz/our-programmes/reducing-harm-from-falls/news-and-events/news/3008</w:t>
        </w:r>
      </w:hyperlink>
    </w:p>
    <w:p w14:paraId="3600F04C" w14:textId="77777777" w:rsidR="00356314" w:rsidRDefault="00356314" w:rsidP="003665FA">
      <w:pPr>
        <w:pStyle w:val="ListParagraph"/>
        <w:spacing w:after="0"/>
        <w:ind w:left="363"/>
        <w:jc w:val="both"/>
      </w:pPr>
    </w:p>
    <w:p w14:paraId="7F48CD75" w14:textId="6221C812" w:rsidR="00EE09C2" w:rsidRDefault="00EE09C2" w:rsidP="003665FA">
      <w:pPr>
        <w:pStyle w:val="ListParagraph"/>
        <w:numPr>
          <w:ilvl w:val="0"/>
          <w:numId w:val="18"/>
        </w:numPr>
        <w:spacing w:after="0"/>
        <w:ind w:left="363"/>
        <w:jc w:val="both"/>
      </w:pPr>
      <w:r w:rsidRPr="00EE09C2">
        <w:rPr>
          <w:b/>
        </w:rPr>
        <w:t>My Aged Care</w:t>
      </w:r>
      <w:r>
        <w:t xml:space="preserve">: </w:t>
      </w:r>
      <w:hyperlink r:id="rId21" w:history="1">
        <w:r w:rsidRPr="006C5991">
          <w:rPr>
            <w:rStyle w:val="Hyperlink"/>
          </w:rPr>
          <w:t>www.myagedcare.gov.au</w:t>
        </w:r>
      </w:hyperlink>
      <w:r w:rsidR="005A0720">
        <w:t xml:space="preserve"> </w:t>
      </w:r>
    </w:p>
    <w:p w14:paraId="4505422A" w14:textId="77777777" w:rsidR="00356314" w:rsidRDefault="00356314" w:rsidP="003665FA">
      <w:pPr>
        <w:pStyle w:val="ListParagraph"/>
        <w:spacing w:after="0"/>
        <w:ind w:left="363"/>
        <w:jc w:val="both"/>
      </w:pPr>
    </w:p>
    <w:p w14:paraId="7812EBE7" w14:textId="0D63C375" w:rsidR="00356314" w:rsidRPr="00356314" w:rsidRDefault="00EE09C2" w:rsidP="003665FA">
      <w:pPr>
        <w:pStyle w:val="ListParagraph"/>
        <w:numPr>
          <w:ilvl w:val="0"/>
          <w:numId w:val="18"/>
        </w:numPr>
        <w:spacing w:after="0"/>
        <w:ind w:left="363"/>
        <w:jc w:val="both"/>
        <w:rPr>
          <w:rStyle w:val="Hyperlink"/>
          <w:color w:val="auto"/>
          <w:u w:val="none"/>
        </w:rPr>
      </w:pPr>
      <w:r w:rsidRPr="00EE09C2">
        <w:rPr>
          <w:b/>
        </w:rPr>
        <w:t>Live Stronger for Longer</w:t>
      </w:r>
      <w:r>
        <w:t xml:space="preserve">: </w:t>
      </w:r>
      <w:hyperlink r:id="rId22" w:history="1">
        <w:r>
          <w:rPr>
            <w:rStyle w:val="Hyperlink"/>
          </w:rPr>
          <w:t>https://www.livestronger.org.nz</w:t>
        </w:r>
      </w:hyperlink>
    </w:p>
    <w:p w14:paraId="2747B748" w14:textId="77777777" w:rsidR="00356314" w:rsidRDefault="00356314" w:rsidP="003665FA">
      <w:pPr>
        <w:pStyle w:val="ListParagraph"/>
        <w:spacing w:after="0"/>
        <w:ind w:left="363"/>
      </w:pPr>
    </w:p>
    <w:p w14:paraId="144B3A8D" w14:textId="46069D92" w:rsidR="00106FD5" w:rsidRDefault="00356314" w:rsidP="003665FA">
      <w:pPr>
        <w:pStyle w:val="ListParagraph"/>
        <w:numPr>
          <w:ilvl w:val="0"/>
          <w:numId w:val="18"/>
        </w:numPr>
        <w:spacing w:after="0"/>
        <w:ind w:left="363"/>
        <w:jc w:val="both"/>
      </w:pPr>
      <w:r>
        <w:rPr>
          <w:b/>
        </w:rPr>
        <w:t>F</w:t>
      </w:r>
      <w:r w:rsidR="00E9763F" w:rsidRPr="00356314">
        <w:rPr>
          <w:b/>
        </w:rPr>
        <w:t>ragility Fracture Network (FFN):</w:t>
      </w:r>
      <w:r w:rsidR="00E9763F" w:rsidRPr="008D50E3">
        <w:t xml:space="preserve"> FFN is a global group of activists committed to improving care of individuals with fragility fractures. The FFN’s strategic goals are completely aligned to the case made in th</w:t>
      </w:r>
      <w:r w:rsidR="00A01F09" w:rsidRPr="008D50E3">
        <w:t>is business plan. Read more at:</w:t>
      </w:r>
      <w:r>
        <w:t xml:space="preserve"> </w:t>
      </w:r>
      <w:hyperlink r:id="rId23" w:history="1">
        <w:r w:rsidR="00E9763F" w:rsidRPr="008D50E3">
          <w:rPr>
            <w:rStyle w:val="Hyperlink"/>
          </w:rPr>
          <w:t>http://fragilityfracturenetwork.org/</w:t>
        </w:r>
      </w:hyperlink>
      <w:r w:rsidR="00E9763F" w:rsidRPr="008D50E3">
        <w:t>.</w:t>
      </w:r>
    </w:p>
    <w:p w14:paraId="54A060F7" w14:textId="77777777" w:rsidR="00356314" w:rsidRDefault="00356314" w:rsidP="003665FA">
      <w:pPr>
        <w:pStyle w:val="ListParagraph"/>
        <w:spacing w:after="0"/>
        <w:ind w:left="363"/>
        <w:jc w:val="both"/>
      </w:pPr>
    </w:p>
    <w:p w14:paraId="400B9482" w14:textId="3D75DE58" w:rsidR="006C7301" w:rsidRDefault="00E9763F" w:rsidP="003665FA">
      <w:pPr>
        <w:pStyle w:val="ListParagraph"/>
        <w:numPr>
          <w:ilvl w:val="0"/>
          <w:numId w:val="18"/>
        </w:numPr>
        <w:spacing w:after="0"/>
        <w:ind w:left="363" w:hanging="357"/>
        <w:jc w:val="both"/>
      </w:pPr>
      <w:r>
        <w:rPr>
          <w:b/>
        </w:rPr>
        <w:t>International Osteoporosis Foundation (IOF)</w:t>
      </w:r>
      <w:r w:rsidRPr="00E9763F">
        <w:rPr>
          <w:b/>
        </w:rPr>
        <w:t>:</w:t>
      </w:r>
      <w:r>
        <w:t xml:space="preserve"> </w:t>
      </w:r>
      <w:r w:rsidR="00A01F09" w:rsidRPr="00A01F09">
        <w:t>IOF functions as a global alliance of pat</w:t>
      </w:r>
      <w:r w:rsidR="00A01F09">
        <w:t>ient societies, research organis</w:t>
      </w:r>
      <w:r w:rsidR="00A01F09" w:rsidRPr="00A01F09">
        <w:t>ations, healthcare professionals and international companies working to promote bone, muscle and joint health.</w:t>
      </w:r>
      <w:r w:rsidR="00A01F09">
        <w:t xml:space="preserve"> Read more at: </w:t>
      </w:r>
      <w:hyperlink r:id="rId24" w:history="1">
        <w:r w:rsidR="00A01F09" w:rsidRPr="00C574D1">
          <w:rPr>
            <w:rStyle w:val="Hyperlink"/>
          </w:rPr>
          <w:t>https://www.iofbonehealth.org/</w:t>
        </w:r>
      </w:hyperlink>
      <w:r w:rsidR="00A01F09">
        <w:t xml:space="preserve">. </w:t>
      </w:r>
    </w:p>
    <w:p w14:paraId="19647481" w14:textId="77777777" w:rsidR="006043E3" w:rsidRDefault="006043E3" w:rsidP="00E139DA">
      <w:pPr>
        <w:spacing w:after="0"/>
        <w:ind w:left="363"/>
        <w:rPr>
          <w:rFonts w:asciiTheme="majorHAnsi" w:eastAsiaTheme="majorEastAsia" w:hAnsiTheme="majorHAnsi" w:cstheme="majorBidi"/>
          <w:color w:val="2E74B5" w:themeColor="accent1" w:themeShade="BF"/>
          <w:sz w:val="32"/>
          <w:szCs w:val="32"/>
        </w:rPr>
      </w:pPr>
      <w:r>
        <w:br w:type="page"/>
      </w:r>
    </w:p>
    <w:p w14:paraId="33A9005E" w14:textId="67F41207" w:rsidR="003331A7" w:rsidRPr="00CE2EF6" w:rsidRDefault="003331A7" w:rsidP="00CE2EF6">
      <w:pPr>
        <w:pStyle w:val="Heading1"/>
        <w:jc w:val="both"/>
      </w:pPr>
      <w:bookmarkStart w:id="16" w:name="_Toc21443861"/>
      <w:r w:rsidRPr="00CE2EF6">
        <w:t>Summary</w:t>
      </w:r>
      <w:r w:rsidR="00BE4808" w:rsidRPr="00CE2EF6">
        <w:t xml:space="preserve"> and recommendation</w:t>
      </w:r>
      <w:bookmarkEnd w:id="16"/>
    </w:p>
    <w:p w14:paraId="757FE39F" w14:textId="1081737D" w:rsidR="003331A7" w:rsidRPr="00077046" w:rsidRDefault="008D50E3" w:rsidP="00356314">
      <w:pPr>
        <w:spacing w:after="0"/>
        <w:jc w:val="both"/>
      </w:pPr>
      <w:r w:rsidRPr="008D50E3">
        <w:t xml:space="preserve">During the last </w:t>
      </w:r>
      <w:r w:rsidR="00F6217C">
        <w:t>eight</w:t>
      </w:r>
      <w:r w:rsidR="00C328EF" w:rsidRPr="008D50E3">
        <w:t xml:space="preserve"> years, significant progress h</w:t>
      </w:r>
      <w:r w:rsidR="007D3598">
        <w:t xml:space="preserve">as been made in </w:t>
      </w:r>
      <w:r w:rsidR="00C328EF" w:rsidRPr="008D50E3">
        <w:t xml:space="preserve">Australia </w:t>
      </w:r>
      <w:r w:rsidR="007D3598">
        <w:t xml:space="preserve">and </w:t>
      </w:r>
      <w:r w:rsidR="007D3598" w:rsidRPr="008D50E3">
        <w:t xml:space="preserve">New Zealand </w:t>
      </w:r>
      <w:r w:rsidR="00C328EF" w:rsidRPr="008D50E3">
        <w:t>in relation to hip fracture care and prevention.</w:t>
      </w:r>
      <w:r w:rsidR="00C45FE6" w:rsidRPr="008D50E3">
        <w:t xml:space="preserve"> The Australian and New Zealand Guideline for Hip Fracture Care published in 2014</w:t>
      </w:r>
      <w:r w:rsidR="00DE00D0">
        <w:fldChar w:fldCharType="begin"/>
      </w:r>
      <w:r w:rsidR="00DE00D0">
        <w:instrText xml:space="preserve"> NOTEREF _Ref18066226 \f \h </w:instrText>
      </w:r>
      <w:r w:rsidR="00DE00D0">
        <w:fldChar w:fldCharType="separate"/>
      </w:r>
      <w:r w:rsidR="008B7C65" w:rsidRPr="008B7C65">
        <w:rPr>
          <w:rStyle w:val="EndnoteReference"/>
        </w:rPr>
        <w:t>32</w:t>
      </w:r>
      <w:r w:rsidR="00DE00D0">
        <w:fldChar w:fldCharType="end"/>
      </w:r>
      <w:r w:rsidR="00C45FE6" w:rsidRPr="008D50E3">
        <w:t xml:space="preserve"> presented the most current synthesis of clinical evidence on hip fracture care in the world</w:t>
      </w:r>
      <w:r w:rsidR="003F3F6B" w:rsidRPr="008D50E3">
        <w:t xml:space="preserve"> at the time</w:t>
      </w:r>
      <w:r w:rsidR="00C45FE6" w:rsidRPr="008D50E3">
        <w:t>, and was endorsed by the National Health and Medical Research Council in Australia and the following learned societies and NGOs:</w:t>
      </w:r>
    </w:p>
    <w:p w14:paraId="464C43EC" w14:textId="77777777" w:rsidR="00D261D0" w:rsidRDefault="00D261D0" w:rsidP="003665FA">
      <w:pPr>
        <w:pStyle w:val="ListParagraph"/>
        <w:numPr>
          <w:ilvl w:val="0"/>
          <w:numId w:val="15"/>
        </w:numPr>
        <w:ind w:left="723"/>
        <w:jc w:val="both"/>
      </w:pPr>
      <w:r>
        <w:t>Australasian College for Emergency Medicine</w:t>
      </w:r>
    </w:p>
    <w:p w14:paraId="76D683A1" w14:textId="77777777" w:rsidR="00D261D0" w:rsidRDefault="00D261D0" w:rsidP="003665FA">
      <w:pPr>
        <w:pStyle w:val="ListParagraph"/>
        <w:numPr>
          <w:ilvl w:val="0"/>
          <w:numId w:val="15"/>
        </w:numPr>
        <w:ind w:left="723"/>
        <w:jc w:val="both"/>
      </w:pPr>
      <w:r>
        <w:t>Australasian Faculty of Rehabilitation Medicine</w:t>
      </w:r>
    </w:p>
    <w:p w14:paraId="1E84C1F5" w14:textId="77777777" w:rsidR="00D261D0" w:rsidRDefault="00D261D0" w:rsidP="003665FA">
      <w:pPr>
        <w:pStyle w:val="ListParagraph"/>
        <w:numPr>
          <w:ilvl w:val="0"/>
          <w:numId w:val="15"/>
        </w:numPr>
        <w:ind w:left="723"/>
        <w:jc w:val="both"/>
      </w:pPr>
      <w:r>
        <w:t>Australian and New Zealand Orthopaedic Nurses Association</w:t>
      </w:r>
    </w:p>
    <w:p w14:paraId="6611A141" w14:textId="77777777" w:rsidR="00D261D0" w:rsidRDefault="00D261D0" w:rsidP="003665FA">
      <w:pPr>
        <w:pStyle w:val="ListParagraph"/>
        <w:numPr>
          <w:ilvl w:val="0"/>
          <w:numId w:val="15"/>
        </w:numPr>
        <w:ind w:left="723"/>
        <w:jc w:val="both"/>
      </w:pPr>
      <w:r>
        <w:t>Australian and New Zealand Society for Geriatric Medicine</w:t>
      </w:r>
    </w:p>
    <w:p w14:paraId="4D641EDE" w14:textId="77777777" w:rsidR="00D261D0" w:rsidRDefault="00D261D0" w:rsidP="003665FA">
      <w:pPr>
        <w:pStyle w:val="ListParagraph"/>
        <w:numPr>
          <w:ilvl w:val="0"/>
          <w:numId w:val="15"/>
        </w:numPr>
        <w:ind w:left="723"/>
        <w:jc w:val="both"/>
      </w:pPr>
      <w:r>
        <w:t>Australian Orthopaedic Association</w:t>
      </w:r>
    </w:p>
    <w:p w14:paraId="150105D7" w14:textId="77777777" w:rsidR="00D261D0" w:rsidRDefault="00D261D0" w:rsidP="003665FA">
      <w:pPr>
        <w:pStyle w:val="ListParagraph"/>
        <w:numPr>
          <w:ilvl w:val="0"/>
          <w:numId w:val="15"/>
        </w:numPr>
        <w:ind w:left="723"/>
        <w:jc w:val="both"/>
      </w:pPr>
      <w:r>
        <w:t>Carers NSW</w:t>
      </w:r>
    </w:p>
    <w:p w14:paraId="6349BEC1" w14:textId="77777777" w:rsidR="00D261D0" w:rsidRDefault="00D261D0" w:rsidP="003665FA">
      <w:pPr>
        <w:pStyle w:val="ListParagraph"/>
        <w:numPr>
          <w:ilvl w:val="0"/>
          <w:numId w:val="15"/>
        </w:numPr>
        <w:ind w:left="723"/>
        <w:jc w:val="both"/>
      </w:pPr>
      <w:r>
        <w:t>New Zealand Orthopaedic Association</w:t>
      </w:r>
    </w:p>
    <w:p w14:paraId="1F27CE0D" w14:textId="77777777" w:rsidR="00D261D0" w:rsidRDefault="00D261D0" w:rsidP="003665FA">
      <w:pPr>
        <w:pStyle w:val="ListParagraph"/>
        <w:numPr>
          <w:ilvl w:val="0"/>
          <w:numId w:val="15"/>
        </w:numPr>
        <w:ind w:left="723"/>
        <w:jc w:val="both"/>
      </w:pPr>
      <w:r>
        <w:t>Osteoporosis Australia</w:t>
      </w:r>
    </w:p>
    <w:p w14:paraId="55189DB1" w14:textId="77777777" w:rsidR="00D261D0" w:rsidRDefault="00D261D0" w:rsidP="003665FA">
      <w:pPr>
        <w:pStyle w:val="ListParagraph"/>
        <w:numPr>
          <w:ilvl w:val="0"/>
          <w:numId w:val="15"/>
        </w:numPr>
        <w:ind w:left="723"/>
        <w:jc w:val="both"/>
      </w:pPr>
      <w:r>
        <w:t>Osteoporosis New Zealand</w:t>
      </w:r>
    </w:p>
    <w:p w14:paraId="2C666864" w14:textId="77777777" w:rsidR="0016557E" w:rsidRDefault="00D261D0" w:rsidP="003665FA">
      <w:pPr>
        <w:pStyle w:val="ListParagraph"/>
        <w:numPr>
          <w:ilvl w:val="0"/>
          <w:numId w:val="15"/>
        </w:numPr>
        <w:spacing w:after="0"/>
        <w:ind w:hanging="357"/>
        <w:jc w:val="both"/>
      </w:pPr>
      <w:r>
        <w:t>Royal Australasian College of Surgeons</w:t>
      </w:r>
    </w:p>
    <w:p w14:paraId="55DE571F" w14:textId="77777777" w:rsidR="00356314" w:rsidRDefault="00356314" w:rsidP="003665FA">
      <w:pPr>
        <w:spacing w:after="0"/>
        <w:ind w:left="363"/>
        <w:jc w:val="both"/>
      </w:pPr>
    </w:p>
    <w:p w14:paraId="6FBF9D0A" w14:textId="74781722" w:rsidR="00866E73" w:rsidRDefault="00D261D0" w:rsidP="005A1F62">
      <w:pPr>
        <w:spacing w:after="0"/>
        <w:jc w:val="both"/>
      </w:pPr>
      <w:r>
        <w:t>This guideline informed development of the Hip Fracture Care Clinical Care Standard</w:t>
      </w:r>
      <w:r w:rsidR="00DE00D0">
        <w:fldChar w:fldCharType="begin"/>
      </w:r>
      <w:r w:rsidR="00DE00D0">
        <w:instrText xml:space="preserve"> NOTEREF _Ref18066376 \f \h </w:instrText>
      </w:r>
      <w:r w:rsidR="00DE00D0">
        <w:fldChar w:fldCharType="separate"/>
      </w:r>
      <w:r w:rsidR="008B7C65" w:rsidRPr="008B7C65">
        <w:rPr>
          <w:rStyle w:val="EndnoteReference"/>
        </w:rPr>
        <w:t>35</w:t>
      </w:r>
      <w:r w:rsidR="00DE00D0">
        <w:fldChar w:fldCharType="end"/>
      </w:r>
      <w:r>
        <w:t xml:space="preserve"> which supports:</w:t>
      </w:r>
    </w:p>
    <w:p w14:paraId="24F88B3C" w14:textId="7D1C41BE" w:rsidR="00D261D0" w:rsidRDefault="00D261D0" w:rsidP="003665FA">
      <w:pPr>
        <w:pStyle w:val="ListParagraph"/>
        <w:numPr>
          <w:ilvl w:val="0"/>
          <w:numId w:val="16"/>
        </w:numPr>
        <w:ind w:left="723"/>
        <w:jc w:val="both"/>
      </w:pPr>
      <w:r>
        <w:t>People to know what care should be offered by their healthcare system, and to make informed treatment decisions in p</w:t>
      </w:r>
      <w:r w:rsidR="00B670F8">
        <w:t>artnership with their clinician;</w:t>
      </w:r>
    </w:p>
    <w:p w14:paraId="6E024759" w14:textId="5B192A93" w:rsidR="00D261D0" w:rsidRDefault="00D261D0" w:rsidP="003665FA">
      <w:pPr>
        <w:pStyle w:val="ListParagraph"/>
        <w:numPr>
          <w:ilvl w:val="0"/>
          <w:numId w:val="16"/>
        </w:numPr>
        <w:ind w:left="723"/>
        <w:jc w:val="both"/>
      </w:pPr>
      <w:r>
        <w:t>Clinicians to make d</w:t>
      </w:r>
      <w:r w:rsidR="00B670F8">
        <w:t>ecisions about appropriate care;</w:t>
      </w:r>
    </w:p>
    <w:p w14:paraId="68781744" w14:textId="72064F19" w:rsidR="00D261D0" w:rsidRDefault="00D261D0" w:rsidP="003665FA">
      <w:pPr>
        <w:pStyle w:val="ListParagraph"/>
        <w:numPr>
          <w:ilvl w:val="0"/>
          <w:numId w:val="16"/>
        </w:numPr>
        <w:spacing w:after="0"/>
        <w:ind w:hanging="357"/>
        <w:jc w:val="both"/>
      </w:pPr>
      <w:r>
        <w:t>Health services to examine the performance of their organisation and make improvements in the care they provide.</w:t>
      </w:r>
    </w:p>
    <w:p w14:paraId="77156266" w14:textId="77777777" w:rsidR="00046F30" w:rsidRDefault="00046F30" w:rsidP="00046F30">
      <w:pPr>
        <w:pStyle w:val="ListParagraph"/>
        <w:spacing w:after="0"/>
        <w:ind w:left="714"/>
        <w:jc w:val="both"/>
      </w:pPr>
    </w:p>
    <w:p w14:paraId="6221884F" w14:textId="77777777" w:rsidR="00D261D0" w:rsidRDefault="00D261D0" w:rsidP="005A1F62">
      <w:pPr>
        <w:spacing w:after="0"/>
        <w:jc w:val="both"/>
      </w:pPr>
      <w:r>
        <w:t>The third Quality Statement of the Clinical Care Standard states that a patient with a hip fracture should be offered treatment based on an orthogeriatric model of care as defined in the Clinical Guideline.</w:t>
      </w:r>
    </w:p>
    <w:p w14:paraId="1B14EE50" w14:textId="77777777" w:rsidR="005A1F62" w:rsidRDefault="005A1F62" w:rsidP="005A1F62">
      <w:pPr>
        <w:spacing w:after="0"/>
        <w:jc w:val="both"/>
      </w:pPr>
    </w:p>
    <w:p w14:paraId="3B771B29" w14:textId="08F0AF6C" w:rsidR="00D261D0" w:rsidRDefault="00F508CF" w:rsidP="005A1F62">
      <w:pPr>
        <w:spacing w:after="0"/>
        <w:jc w:val="both"/>
      </w:pPr>
      <w:r>
        <w:t>The ANZHFR</w:t>
      </w:r>
      <w:r w:rsidR="00D261D0">
        <w:t xml:space="preserve"> </w:t>
      </w:r>
      <w:r w:rsidR="00D261D0" w:rsidRPr="00D261D0">
        <w:t>provides hospitals with an opportunity to benchmark the care that they provide for hip fracture patients – in real time – against the av</w:t>
      </w:r>
      <w:r w:rsidR="00B778C4">
        <w:t>erage performance in Australia</w:t>
      </w:r>
      <w:r w:rsidR="00830048">
        <w:t xml:space="preserve"> and against the Clinical Care Standard.</w:t>
      </w:r>
    </w:p>
    <w:p w14:paraId="148687C5" w14:textId="77777777" w:rsidR="005A1F62" w:rsidRDefault="005A1F62" w:rsidP="005A1F62">
      <w:pPr>
        <w:spacing w:after="0"/>
        <w:jc w:val="both"/>
      </w:pPr>
    </w:p>
    <w:p w14:paraId="080B2D67" w14:textId="19ABC19A" w:rsidR="00866E73" w:rsidRPr="005F120F" w:rsidRDefault="007870A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b/>
        </w:rPr>
      </w:pPr>
      <w:r w:rsidRPr="00C707F2">
        <w:rPr>
          <w:b/>
        </w:rPr>
        <w:t>This business plan recommends</w:t>
      </w:r>
      <w:r w:rsidR="005F120F">
        <w:rPr>
          <w:b/>
        </w:rPr>
        <w:t xml:space="preserve"> that </w:t>
      </w:r>
      <w:r w:rsidR="005F120F" w:rsidRPr="00C707F2">
        <w:rPr>
          <w:b/>
        </w:rPr>
        <w:t>[</w:t>
      </w:r>
      <w:r w:rsidR="005F120F" w:rsidRPr="00C707F2">
        <w:rPr>
          <w:b/>
          <w:color w:val="FF0000"/>
        </w:rPr>
        <w:t>Insert name of hospital</w:t>
      </w:r>
      <w:r w:rsidR="005F120F">
        <w:rPr>
          <w:b/>
        </w:rPr>
        <w:t>]</w:t>
      </w:r>
      <w:r w:rsidRPr="00C707F2">
        <w:rPr>
          <w:b/>
        </w:rPr>
        <w:t xml:space="preserve"> </w:t>
      </w:r>
      <w:r w:rsidR="005F120F">
        <w:rPr>
          <w:b/>
        </w:rPr>
        <w:t>participates</w:t>
      </w:r>
      <w:r w:rsidR="00D24A86">
        <w:rPr>
          <w:b/>
        </w:rPr>
        <w:t xml:space="preserve"> in the Australian and New Zealand</w:t>
      </w:r>
      <w:r w:rsidRPr="00C707F2">
        <w:rPr>
          <w:b/>
        </w:rPr>
        <w:t xml:space="preserve"> Hip Fracture Registry</w:t>
      </w:r>
      <w:r w:rsidR="005F120F">
        <w:rPr>
          <w:b/>
        </w:rPr>
        <w:t xml:space="preserve"> and </w:t>
      </w:r>
      <w:r w:rsidR="005F120F">
        <w:rPr>
          <w:b/>
          <w:color w:val="FF0000"/>
        </w:rPr>
        <w:t>develops/refines</w:t>
      </w:r>
      <w:r w:rsidR="005F120F">
        <w:rPr>
          <w:b/>
        </w:rPr>
        <w:t xml:space="preserve"> </w:t>
      </w:r>
      <w:r w:rsidR="005F120F" w:rsidRPr="005F120F">
        <w:rPr>
          <w:b/>
          <w:color w:val="FF0000"/>
        </w:rPr>
        <w:t>the/an</w:t>
      </w:r>
      <w:r w:rsidR="005F120F" w:rsidRPr="00C707F2">
        <w:rPr>
          <w:b/>
        </w:rPr>
        <w:t xml:space="preserve"> Orthogeriatrics Service</w:t>
      </w:r>
      <w:r w:rsidRPr="00C707F2">
        <w:rPr>
          <w:b/>
        </w:rPr>
        <w:t xml:space="preserve"> to enable us to deliver the best standards of clinical care for older people in our locality who suffer hip fractures.</w:t>
      </w:r>
      <w:r w:rsidR="00866E73">
        <w:br w:type="page"/>
      </w:r>
    </w:p>
    <w:p w14:paraId="736EFA67" w14:textId="3B4763F0" w:rsidR="00AD5E3C" w:rsidRPr="00CE2EF6" w:rsidRDefault="0016557E" w:rsidP="00CE2EF6">
      <w:pPr>
        <w:pStyle w:val="Heading1"/>
        <w:jc w:val="both"/>
      </w:pPr>
      <w:bookmarkStart w:id="17" w:name="_Toc21443862"/>
      <w:r w:rsidRPr="00CE2EF6">
        <w:t>Appendix 1</w:t>
      </w:r>
      <w:r w:rsidR="00A40630" w:rsidRPr="00CE2EF6">
        <w:t xml:space="preserve">: </w:t>
      </w:r>
      <w:r w:rsidR="00934456" w:rsidRPr="00CE2EF6">
        <w:t>E</w:t>
      </w:r>
      <w:r w:rsidR="003B00F7" w:rsidRPr="00CE2EF6">
        <w:t>xamples</w:t>
      </w:r>
      <w:r w:rsidR="00A40630" w:rsidRPr="00CE2EF6">
        <w:t xml:space="preserve"> in </w:t>
      </w:r>
      <w:r w:rsidR="00AD5E3C" w:rsidRPr="00CE2EF6">
        <w:t xml:space="preserve">Australia and </w:t>
      </w:r>
      <w:r w:rsidR="00A40630" w:rsidRPr="00CE2EF6">
        <w:t>New Zealand</w:t>
      </w:r>
      <w:bookmarkEnd w:id="17"/>
    </w:p>
    <w:p w14:paraId="2968CE14" w14:textId="141BEE23" w:rsidR="0048029B" w:rsidRDefault="00866E73" w:rsidP="00046F30">
      <w:pPr>
        <w:spacing w:after="0"/>
        <w:jc w:val="both"/>
      </w:pPr>
      <w:r>
        <w:t>A description of the approach</w:t>
      </w:r>
      <w:r w:rsidR="00982036">
        <w:t>es</w:t>
      </w:r>
      <w:r>
        <w:t xml:space="preserve"> taken to participation in the ANZ</w:t>
      </w:r>
      <w:r w:rsidR="005D38A2">
        <w:t xml:space="preserve">HFR and Orthogeriatric Services </w:t>
      </w:r>
      <w:r>
        <w:t>is</w:t>
      </w:r>
      <w:r w:rsidR="00750733">
        <w:t xml:space="preserve"> </w:t>
      </w:r>
      <w:r w:rsidR="006D072A">
        <w:t>provided for Toowoomba</w:t>
      </w:r>
      <w:r>
        <w:t xml:space="preserve"> Hospital</w:t>
      </w:r>
      <w:r w:rsidR="00750733">
        <w:t xml:space="preserve">, </w:t>
      </w:r>
      <w:r w:rsidR="006D072A">
        <w:t>St Vincent’s</w:t>
      </w:r>
      <w:r w:rsidR="00982036">
        <w:t xml:space="preserve"> Hospital</w:t>
      </w:r>
      <w:r w:rsidR="00A26C52">
        <w:t>, Wait</w:t>
      </w:r>
      <w:r w:rsidR="00F44868">
        <w:t>emata DHB and Waikato Hospital.</w:t>
      </w:r>
    </w:p>
    <w:p w14:paraId="3DAEA05D" w14:textId="77777777" w:rsidR="00F44868" w:rsidRDefault="00F44868" w:rsidP="00046F30">
      <w:pPr>
        <w:pStyle w:val="Heading2"/>
        <w:spacing w:before="0"/>
        <w:jc w:val="both"/>
        <w:rPr>
          <w:rFonts w:asciiTheme="minorHAnsi" w:eastAsiaTheme="minorHAnsi" w:hAnsiTheme="minorHAnsi" w:cstheme="minorBidi"/>
          <w:color w:val="auto"/>
          <w:sz w:val="22"/>
          <w:szCs w:val="22"/>
        </w:rPr>
      </w:pPr>
    </w:p>
    <w:p w14:paraId="49ECD321" w14:textId="3F23061F" w:rsidR="00866E73" w:rsidRPr="00CE2EF6" w:rsidRDefault="001B3BDE" w:rsidP="00CE2EF6">
      <w:pPr>
        <w:pStyle w:val="Heading2"/>
        <w:jc w:val="both"/>
      </w:pPr>
      <w:bookmarkStart w:id="18" w:name="_Toc21443863"/>
      <w:r w:rsidRPr="00CE2EF6">
        <w:t xml:space="preserve">Toowoomba </w:t>
      </w:r>
      <w:r w:rsidR="00866E73" w:rsidRPr="00CE2EF6">
        <w:t>Hospital</w:t>
      </w:r>
      <w:r w:rsidRPr="00CE2EF6">
        <w:t xml:space="preserve">, </w:t>
      </w:r>
      <w:r w:rsidR="006D072A" w:rsidRPr="00CE2EF6">
        <w:t xml:space="preserve">Toowoomba, </w:t>
      </w:r>
      <w:r w:rsidRPr="00CE2EF6">
        <w:t>Queensland</w:t>
      </w:r>
      <w:bookmarkEnd w:id="18"/>
    </w:p>
    <w:p w14:paraId="13167054" w14:textId="7EFE7DA0" w:rsidR="001B3BDE" w:rsidRDefault="001B3BDE" w:rsidP="00046F30">
      <w:pPr>
        <w:spacing w:after="0"/>
        <w:jc w:val="both"/>
      </w:pPr>
      <w:r>
        <w:t xml:space="preserve">Toowoomba Hospital, QLD, has been entering data to the ANZHFR since September 2015. The early establishment of a Fractured Neck of Femur Working group with key stakeholders including Geriatrics, Orthopaedics, Anaesthetics and Nursing enabled identification of issues and to drive change. The ANZHFR data is a valuable source of information to track the effect of service improvements and provides great feedback to all the members of the team providing hip fracture care. </w:t>
      </w:r>
    </w:p>
    <w:p w14:paraId="04265877" w14:textId="77777777" w:rsidR="005A1F62" w:rsidRDefault="005A1F62" w:rsidP="00046F30">
      <w:pPr>
        <w:spacing w:after="0"/>
        <w:jc w:val="both"/>
      </w:pPr>
    </w:p>
    <w:p w14:paraId="5817F1D7" w14:textId="106BB0A7" w:rsidR="001B3BDE" w:rsidRDefault="001B3BDE" w:rsidP="00046F30">
      <w:pPr>
        <w:spacing w:after="0"/>
        <w:jc w:val="both"/>
      </w:pPr>
      <w:r>
        <w:t xml:space="preserve">Preoperative medical reviews by our orthogeriatric service has improved from 56% of patients in March 2016 to 81% by March 2019. The Geriatrician reviews patients daily on weekday rounds, but the </w:t>
      </w:r>
      <w:r w:rsidR="00D373D5">
        <w:t>orthopaedic</w:t>
      </w:r>
      <w:r>
        <w:t xml:space="preserve"> registrar now notifies the geriatric nurse of new patients presenting to ED during work hours, providing an enhanced opportunity for more patients to be reviewed by the Geriatrician preoperatively, particularly before the weekend. </w:t>
      </w:r>
    </w:p>
    <w:p w14:paraId="0E64AA4C" w14:textId="77777777" w:rsidR="005A1F62" w:rsidRDefault="005A1F62" w:rsidP="00046F30">
      <w:pPr>
        <w:spacing w:after="0"/>
        <w:jc w:val="both"/>
      </w:pPr>
    </w:p>
    <w:p w14:paraId="5EE011AB" w14:textId="192F3836" w:rsidR="001B3BDE" w:rsidRDefault="001B3BDE" w:rsidP="00046F30">
      <w:pPr>
        <w:spacing w:after="0"/>
        <w:jc w:val="both"/>
      </w:pPr>
      <w:r>
        <w:t xml:space="preserve">One of the primary challenges for Toowoomba was to improve time to theatre, noting that many patients are transferred from one of 23 rural hospitals, or from outside the health service, as far away as Augathella Hospital (621km away). Initially, median time to surgery from first hospital presentation was 44 hours. </w:t>
      </w:r>
    </w:p>
    <w:p w14:paraId="438C3BAB" w14:textId="77777777" w:rsidR="005A1F62" w:rsidRDefault="005A1F62" w:rsidP="00046F30">
      <w:pPr>
        <w:spacing w:after="0"/>
        <w:jc w:val="both"/>
      </w:pPr>
    </w:p>
    <w:p w14:paraId="5512AE14" w14:textId="23BF7210" w:rsidR="001B3BDE" w:rsidRDefault="001B3BDE" w:rsidP="00046F30">
      <w:pPr>
        <w:spacing w:after="0"/>
        <w:jc w:val="both"/>
      </w:pPr>
      <w:r>
        <w:t xml:space="preserve">One strategy to improve time to surgery was to implement a Neck </w:t>
      </w:r>
      <w:r w:rsidR="00D373D5">
        <w:t>of</w:t>
      </w:r>
      <w:r>
        <w:t xml:space="preserve"> Femur checklist for rural facilities within the health service, and shared for consideration of use with hospitals outside the area. It aims to ensure timely transfer and prompts consideration of key care components, such as nerve blocks. By November 2018, median time to surgery had improved and the rate of surgery within 48 hours for transferred patients had improved from a low of 57% in September 2015 to 73% in June 2017, and up to 93% in June 2018. The long-awaited addition of an extra operating theatre also enhanced access to surgery and our nerve block rate had increased to 89% from 75% in September 2015. </w:t>
      </w:r>
    </w:p>
    <w:p w14:paraId="0287882A" w14:textId="77777777" w:rsidR="005A1F62" w:rsidRDefault="005A1F62" w:rsidP="00046F30">
      <w:pPr>
        <w:spacing w:after="0"/>
        <w:jc w:val="both"/>
      </w:pPr>
    </w:p>
    <w:p w14:paraId="57775FFF" w14:textId="15DE2B3F" w:rsidR="00750733" w:rsidRDefault="006D072A" w:rsidP="00046F30">
      <w:pPr>
        <w:spacing w:after="0"/>
        <w:jc w:val="both"/>
      </w:pPr>
      <w:r>
        <w:t xml:space="preserve">Sustaining these gains is never taken for granted. The next project is to improve documentation of the falls prevention aspect of the Hip Fracture Care Clinical Care Standard. Most importantly these improvements mean better care for our patients. </w:t>
      </w:r>
    </w:p>
    <w:p w14:paraId="072DCB3C" w14:textId="77777777" w:rsidR="005A1F62" w:rsidRDefault="005A1F62" w:rsidP="00046F30">
      <w:pPr>
        <w:spacing w:after="0"/>
        <w:jc w:val="both"/>
      </w:pPr>
    </w:p>
    <w:p w14:paraId="0DB9126D" w14:textId="5C2AAA1D" w:rsidR="006D072A" w:rsidRDefault="006D072A" w:rsidP="00046F30">
      <w:pPr>
        <w:spacing w:after="0"/>
        <w:jc w:val="both"/>
      </w:pPr>
      <w:r>
        <w:t>Monica McCarron, Clinical Nurse, Toowoomba Hospital, QLD</w:t>
      </w:r>
    </w:p>
    <w:p w14:paraId="44315C06" w14:textId="77777777" w:rsidR="0048029B" w:rsidRDefault="0048029B" w:rsidP="00046F30">
      <w:pPr>
        <w:pStyle w:val="Heading2"/>
        <w:spacing w:before="0"/>
        <w:jc w:val="both"/>
      </w:pPr>
    </w:p>
    <w:p w14:paraId="3DB6D6B9" w14:textId="58A81B6F" w:rsidR="003844F1" w:rsidRPr="00CE2EF6" w:rsidRDefault="006D072A" w:rsidP="005A1F62">
      <w:pPr>
        <w:pStyle w:val="Heading2"/>
        <w:spacing w:before="0"/>
        <w:jc w:val="both"/>
      </w:pPr>
      <w:bookmarkStart w:id="19" w:name="_Toc21443864"/>
      <w:r w:rsidRPr="00CE2EF6">
        <w:t>St Vincent’s</w:t>
      </w:r>
      <w:r w:rsidR="003844F1" w:rsidRPr="00CE2EF6">
        <w:t xml:space="preserve"> Hospital, </w:t>
      </w:r>
      <w:r w:rsidRPr="00CE2EF6">
        <w:t>Darlinghurst, New South Wales</w:t>
      </w:r>
      <w:bookmarkEnd w:id="19"/>
    </w:p>
    <w:p w14:paraId="51ED59F7" w14:textId="0E48270F" w:rsidR="006D072A" w:rsidRDefault="006D072A" w:rsidP="00046F30">
      <w:pPr>
        <w:spacing w:after="0"/>
        <w:jc w:val="both"/>
      </w:pPr>
      <w:r>
        <w:t>The participation of St Vincent’s Hospital Darlinghurst in the Australian and New Zealand Hip Fracture Registry (ANZHFR) has been a significant undertaking, but one that is proving to be a worthwhile investment of time and resources. Hip fracture represents a ‘watershed event’ in the course of a person’s health, so having the Registry inform and encourage reflection on clinical practice is of major importance. St Vincent’s journey thus far with the Registry has been one of growth, learning and increased interdisciplinary collaboration.</w:t>
      </w:r>
    </w:p>
    <w:p w14:paraId="010F24BF" w14:textId="77777777" w:rsidR="005A1F62" w:rsidRDefault="005A1F62" w:rsidP="00046F30">
      <w:pPr>
        <w:spacing w:after="0"/>
        <w:jc w:val="both"/>
      </w:pPr>
    </w:p>
    <w:p w14:paraId="19A13D70" w14:textId="786935CA" w:rsidR="006D072A" w:rsidRDefault="006D072A" w:rsidP="00046F30">
      <w:pPr>
        <w:spacing w:after="0"/>
        <w:jc w:val="both"/>
      </w:pPr>
      <w:r>
        <w:t xml:space="preserve">As the size of the database has grown, it has become a job for more than one person. As such, our senior orthopaedic nurses have become involved. They speak to our patients about the Registry, and collect and add data. This process is evolving as a fantastic learning opportunity for our team, where our nurses are learning in-depth information about a patient’s journey through the experience of the person who has fractured their hip. I have greatly enjoyed engaging and educating our nurses about the national Hip Fracture Care Clinical Care Standard, not only from the nursing perspective but also from the surgical, allied health, and rehabilitation perspectives, and the experience of a patient transitioning back to home. </w:t>
      </w:r>
    </w:p>
    <w:p w14:paraId="77417B31" w14:textId="77777777" w:rsidR="005A1F62" w:rsidRDefault="005A1F62" w:rsidP="00046F30">
      <w:pPr>
        <w:spacing w:after="0"/>
        <w:jc w:val="both"/>
      </w:pPr>
    </w:p>
    <w:p w14:paraId="59BEA9F5" w14:textId="61105756" w:rsidR="006D072A" w:rsidRDefault="006D072A" w:rsidP="00046F30">
      <w:pPr>
        <w:spacing w:after="0"/>
        <w:jc w:val="both"/>
      </w:pPr>
      <w:r>
        <w:t>St Vincent’s Hospital delivers a ‘shared care’ model of care for our patients with a hip fracture. This model of care</w:t>
      </w:r>
      <w:r w:rsidR="00D373D5">
        <w:t xml:space="preserve"> involves provision of an ortho</w:t>
      </w:r>
      <w:r>
        <w:t xml:space="preserve">geriatric service headed by Professor Sandy Beveridge. This provides a team approach to care between the surgical orthopaedic team and the medical geriatric team. The addition of the ANZHFR has complimented this shared model of care, and it provides a wonderful reference point for reflection on the current delivery of hip fracture care, as well as inspiration for future planning and quality improvement projects. So far, the Registry has informed the design of an orthogeriatric case conference form, which is currently being trialled. The form prompts review of key goals of care for the patient including the use of nerve blocks, cognitive screening, bone health screening and post discharge planning and interventions. </w:t>
      </w:r>
    </w:p>
    <w:p w14:paraId="4AF35C5A" w14:textId="77777777" w:rsidR="005A1F62" w:rsidRDefault="005A1F62" w:rsidP="00046F30">
      <w:pPr>
        <w:spacing w:after="0"/>
        <w:jc w:val="both"/>
      </w:pPr>
    </w:p>
    <w:p w14:paraId="028B05A8" w14:textId="1E793934" w:rsidR="006D072A" w:rsidRDefault="006D072A" w:rsidP="005A1F62">
      <w:pPr>
        <w:spacing w:after="0"/>
        <w:jc w:val="both"/>
      </w:pPr>
      <w:r>
        <w:t xml:space="preserve">Looking forward, we hope to improve dissemination of Registry data to “bring to life” information for the purpose of feedback and quality improvement. We aim to initiate a 3-monthly reporting meeting by inviting the various medical and surgical teams and departments to allow all to see their hard work in ‘black and white’ and review areas for improvement. </w:t>
      </w:r>
    </w:p>
    <w:p w14:paraId="2B9431DF" w14:textId="77777777" w:rsidR="005A1F62" w:rsidRDefault="005A1F62" w:rsidP="005A1F62">
      <w:pPr>
        <w:spacing w:after="0"/>
        <w:jc w:val="both"/>
      </w:pPr>
    </w:p>
    <w:p w14:paraId="2A64B5DB" w14:textId="2EA648E3" w:rsidR="006D072A" w:rsidRDefault="006D072A" w:rsidP="00046F30">
      <w:pPr>
        <w:spacing w:after="0"/>
        <w:jc w:val="both"/>
      </w:pPr>
      <w:r>
        <w:t xml:space="preserve">Further, the follow-up phone call has been extremely well received by patients and their families. The longer-term 120-day follow-ups provide a unique opportunity to gauge a person’s recovery and their progress through rehabilitation, and to screen for appropriate and effective use of analgesia. It is a wonderful opportunity to stay connected with those who may be vulnerable and benefit from further engagement with health services. Our anaesthetics team see the potential of the Registry follow-up to improve identification and education of patients who may be using opioids inappropriately, as this is a significant problem in our community. </w:t>
      </w:r>
    </w:p>
    <w:p w14:paraId="3C46F1A0" w14:textId="77777777" w:rsidR="005A1F62" w:rsidRDefault="005A1F62" w:rsidP="00046F30">
      <w:pPr>
        <w:spacing w:after="0"/>
        <w:jc w:val="both"/>
      </w:pPr>
    </w:p>
    <w:p w14:paraId="71D8C193" w14:textId="5AB53896" w:rsidR="00750733" w:rsidRDefault="006D072A" w:rsidP="00046F30">
      <w:pPr>
        <w:spacing w:after="0"/>
        <w:jc w:val="both"/>
      </w:pPr>
      <w:r>
        <w:t xml:space="preserve">The potential of the Registry to stimulate and encourage research projects, improve practice and provide recognition for local achievement, is a wonderfully positive addition to St Vincent’s mission to provide excellence in health care for our community. The Registry is one-step towards closing the care gap for patients who suffer this often life changing injury. </w:t>
      </w:r>
    </w:p>
    <w:p w14:paraId="7548BED6" w14:textId="77777777" w:rsidR="005A1F62" w:rsidRDefault="005A1F62" w:rsidP="00046F30">
      <w:pPr>
        <w:spacing w:after="0"/>
        <w:jc w:val="both"/>
      </w:pPr>
    </w:p>
    <w:p w14:paraId="76A63AC3" w14:textId="6BCD0F59" w:rsidR="006D072A" w:rsidRPr="006D072A" w:rsidRDefault="006D072A" w:rsidP="00046F30">
      <w:pPr>
        <w:spacing w:after="0"/>
        <w:jc w:val="both"/>
      </w:pPr>
      <w:r>
        <w:t>Katherine Paulette</w:t>
      </w:r>
      <w:r w:rsidR="00750733">
        <w:t>,</w:t>
      </w:r>
      <w:r>
        <w:t xml:space="preserve"> RN Orthopaedic Care Coordinator</w:t>
      </w:r>
      <w:r w:rsidR="00750733">
        <w:t>,</w:t>
      </w:r>
      <w:r>
        <w:t xml:space="preserve"> St Vincent's Hospital Darlinghurst</w:t>
      </w:r>
    </w:p>
    <w:p w14:paraId="45D99B2F" w14:textId="77777777" w:rsidR="0048029B" w:rsidRDefault="0048029B" w:rsidP="00046F30">
      <w:pPr>
        <w:pStyle w:val="Heading2"/>
        <w:spacing w:before="0"/>
        <w:jc w:val="both"/>
      </w:pPr>
    </w:p>
    <w:p w14:paraId="6DA6E1C0" w14:textId="2C39F0DA" w:rsidR="003844F1" w:rsidRPr="00CE2EF6" w:rsidRDefault="000F5E74" w:rsidP="00CE2EF6">
      <w:pPr>
        <w:pStyle w:val="Heading2"/>
        <w:jc w:val="both"/>
      </w:pPr>
      <w:bookmarkStart w:id="20" w:name="_Toc21443865"/>
      <w:r w:rsidRPr="00CE2EF6">
        <w:t>Waitemata District Health Board (DHB)</w:t>
      </w:r>
      <w:r w:rsidR="0022290A" w:rsidRPr="00CE2EF6">
        <w:t xml:space="preserve">, </w:t>
      </w:r>
      <w:r w:rsidR="00750733" w:rsidRPr="00CE2EF6">
        <w:t>New Zealand</w:t>
      </w:r>
      <w:bookmarkEnd w:id="20"/>
    </w:p>
    <w:p w14:paraId="402B89A0" w14:textId="1C012663" w:rsidR="00750733" w:rsidRDefault="000F5E74" w:rsidP="00046F30">
      <w:pPr>
        <w:spacing w:after="0"/>
        <w:jc w:val="both"/>
      </w:pPr>
      <w:r>
        <w:t>Waitemata DHB</w:t>
      </w:r>
      <w:r w:rsidR="00750733">
        <w:t xml:space="preserve"> contains the largest population group in the country. North Shore Hospital (NSH) have been part of the ANZHFR since 2015 and recorded over 400 hip fractures last year, from a pool of 62,000 residents aged 70 years and older. </w:t>
      </w:r>
    </w:p>
    <w:p w14:paraId="732A57BD" w14:textId="77777777" w:rsidR="005A1F62" w:rsidRDefault="005A1F62" w:rsidP="00046F30">
      <w:pPr>
        <w:spacing w:after="0"/>
        <w:jc w:val="both"/>
      </w:pPr>
    </w:p>
    <w:p w14:paraId="614B9E6F" w14:textId="521D6B7F" w:rsidR="00750733" w:rsidRDefault="00750733" w:rsidP="00046F30">
      <w:pPr>
        <w:spacing w:after="0"/>
        <w:jc w:val="both"/>
      </w:pPr>
      <w:r>
        <w:t xml:space="preserve">This high demand resulted in the creation of a novel perioperative model in early 2018. This orthogeriatric-chaired service incorporates a multidisciplinary approach to patient care from admission to discharge. All five services: ED, orthogeriatrician, anaesthetic, orthopaedic and older people service departments collaborate and meet on a regular basis to ensure a seamless perioperative care model. One example is a daily morning triage meeting between the surgeon, orthogeriatrician and anaesthetist to prioritise and stabilise patients with hip fractures for their surgery. </w:t>
      </w:r>
    </w:p>
    <w:p w14:paraId="4DB1CA7E" w14:textId="77777777" w:rsidR="005A1F62" w:rsidRDefault="005A1F62" w:rsidP="00046F30">
      <w:pPr>
        <w:spacing w:after="0"/>
        <w:jc w:val="both"/>
      </w:pPr>
    </w:p>
    <w:p w14:paraId="2D09E3F7" w14:textId="4EE56B78" w:rsidR="00750733" w:rsidRDefault="00750733" w:rsidP="00046F30">
      <w:pPr>
        <w:spacing w:after="0"/>
        <w:jc w:val="both"/>
      </w:pPr>
      <w:r>
        <w:t xml:space="preserve">There has been substantial improvement arising from this model of care. 93% of patients were operated within 48 hours of admission, and 65 % within the first 24 hours. This figure improved further to 72% in 2019. Comprehensive pre-operative management facilitated this expediency to surgery, with 100% of patients reviewed by an orthogeriatrician during working hours, and 94% of patients receiving a femoral block performed in ED or during surgery. The comprehensive perioperative management and rapid access to surgery has reduced the median length of stay in the acute orthopaedic ward by 44% (now 5 days). </w:t>
      </w:r>
    </w:p>
    <w:p w14:paraId="5258BFD2" w14:textId="77777777" w:rsidR="005A1F62" w:rsidRDefault="005A1F62" w:rsidP="00046F30">
      <w:pPr>
        <w:spacing w:after="0"/>
        <w:jc w:val="both"/>
      </w:pPr>
    </w:p>
    <w:p w14:paraId="67C92789" w14:textId="6F7B33D3" w:rsidR="003844F1" w:rsidRDefault="00750733" w:rsidP="00046F30">
      <w:pPr>
        <w:spacing w:after="0"/>
        <w:jc w:val="both"/>
      </w:pPr>
      <w:r>
        <w:t>Both orthopaedic and anaesthetic departments at NSH have a strong research interest aimed at improving the outcomes of patients with hip fractures. Current research activities include TRANFUSE-NOF (liberal versus restrictive blood transfusion for NOF patients), MAPI-NOF (Maori/Pacific Islander NOF patients study) and HYPO-NOF (intraoperative hypotension in NOF patients).</w:t>
      </w:r>
    </w:p>
    <w:p w14:paraId="68E6D93E" w14:textId="77777777" w:rsidR="00F44868" w:rsidRDefault="00F44868" w:rsidP="00046F30">
      <w:pPr>
        <w:pStyle w:val="Heading2"/>
        <w:spacing w:before="20"/>
        <w:jc w:val="both"/>
      </w:pPr>
    </w:p>
    <w:p w14:paraId="2AFE965A" w14:textId="252A7568" w:rsidR="003844F1" w:rsidRPr="00CE2EF6" w:rsidRDefault="00750733" w:rsidP="00CE2EF6">
      <w:pPr>
        <w:pStyle w:val="Heading2"/>
        <w:jc w:val="both"/>
      </w:pPr>
      <w:bookmarkStart w:id="21" w:name="_Toc21443866"/>
      <w:r w:rsidRPr="00CE2EF6">
        <w:t>Waikato</w:t>
      </w:r>
      <w:r w:rsidR="003844F1" w:rsidRPr="00CE2EF6">
        <w:t xml:space="preserve"> Hospital, </w:t>
      </w:r>
      <w:r w:rsidRPr="00CE2EF6">
        <w:t>New Zealand</w:t>
      </w:r>
      <w:bookmarkEnd w:id="21"/>
    </w:p>
    <w:p w14:paraId="6B9C9835" w14:textId="7F3FA847" w:rsidR="00750733" w:rsidRDefault="00750733" w:rsidP="00046F30">
      <w:pPr>
        <w:spacing w:after="0"/>
        <w:jc w:val="both"/>
      </w:pPr>
      <w:r>
        <w:t xml:space="preserve">Waikato Hospital is a large tertiary facility providing care for approximately 312 patients with primary hip fracture each </w:t>
      </w:r>
      <w:r w:rsidR="000F5E74">
        <w:t xml:space="preserve">year. Our DHB </w:t>
      </w:r>
      <w:r>
        <w:t xml:space="preserve">joined the ANZHFR a couple of years ago, and has been entering data since July of 2017. </w:t>
      </w:r>
    </w:p>
    <w:p w14:paraId="4827979D" w14:textId="77777777" w:rsidR="005A1F62" w:rsidRDefault="005A1F62" w:rsidP="00046F30">
      <w:pPr>
        <w:spacing w:after="0"/>
        <w:jc w:val="both"/>
      </w:pPr>
    </w:p>
    <w:p w14:paraId="718828C7" w14:textId="538C7917" w:rsidR="00750733" w:rsidRDefault="00750733" w:rsidP="00046F30">
      <w:pPr>
        <w:spacing w:after="0"/>
        <w:jc w:val="both"/>
      </w:pPr>
      <w:r>
        <w:t xml:space="preserve">Early outcome data from the Registry highlighted an opportunity for improvement, with only 27% of patients who presented in 2018 with a hip fracture, receiving a pre-operative medical assessment. In response, the orthogeriatric team ran a </w:t>
      </w:r>
      <w:r w:rsidR="007174B7">
        <w:t>two-month</w:t>
      </w:r>
      <w:r>
        <w:t xml:space="preserve"> scoping trial to establish their ability to provide a responsive, preoperative assessment service during normal working hours. Current resources were re-directed toward the early phase of the patient journey, as no extra medical or nursing hours were available for the trial. </w:t>
      </w:r>
    </w:p>
    <w:p w14:paraId="1DF7EB17" w14:textId="77777777" w:rsidR="005A1F62" w:rsidRDefault="005A1F62" w:rsidP="00046F30">
      <w:pPr>
        <w:spacing w:after="0"/>
        <w:jc w:val="both"/>
      </w:pPr>
    </w:p>
    <w:p w14:paraId="0F91607E" w14:textId="2FBAD1D4" w:rsidR="00750733" w:rsidRDefault="00750733" w:rsidP="00046F30">
      <w:pPr>
        <w:spacing w:after="0"/>
        <w:jc w:val="both"/>
      </w:pPr>
      <w:r>
        <w:t xml:space="preserve">Our aim was to pre-operatively assess 75% of all patients who presented to hospital between Sunday evening and midday Thursday, as there was no Friday availability. </w:t>
      </w:r>
    </w:p>
    <w:p w14:paraId="2D107680" w14:textId="77777777" w:rsidR="005A1F62" w:rsidRDefault="005A1F62" w:rsidP="00046F30">
      <w:pPr>
        <w:spacing w:after="0"/>
        <w:jc w:val="both"/>
      </w:pPr>
    </w:p>
    <w:p w14:paraId="572F8189" w14:textId="75DBF0F9" w:rsidR="00750733" w:rsidRDefault="00750733" w:rsidP="00046F30">
      <w:pPr>
        <w:spacing w:after="0"/>
        <w:jc w:val="both"/>
      </w:pPr>
      <w:r>
        <w:t xml:space="preserve">The project was successful in a number of unexpected ways. Similar rates of early assessment were achieved for both patients who presented during regular work hours (n= 11/21; 52%) and those who arrived out of hours (n= 9/21; 43%). Of the 20 patients formally reviewed before the operating theatre, four were felt to have particularly benefitted: one patient’s operation was abandoned, with an end of life pathway deemed more appropriate; and for the other three patients, the identification of renal, cardiac and respiratory conditions enabled medical optimisation of co-morbidity prior to surgery. </w:t>
      </w:r>
    </w:p>
    <w:p w14:paraId="11B887C8" w14:textId="77777777" w:rsidR="005A1F62" w:rsidRDefault="005A1F62" w:rsidP="00046F30">
      <w:pPr>
        <w:spacing w:after="0"/>
        <w:jc w:val="both"/>
      </w:pPr>
    </w:p>
    <w:p w14:paraId="29F75A6C" w14:textId="6DCD5D9E" w:rsidR="009D61C4" w:rsidRDefault="00750733" w:rsidP="00046F30">
      <w:pPr>
        <w:spacing w:after="0"/>
        <w:jc w:val="both"/>
      </w:pPr>
      <w:r>
        <w:t xml:space="preserve">As part of the trial, a systematic, multidimensional tool was developed for pre-operative patient assessment and it was found to be particularly helpful. As a result, the tool has been adopted for use across the entire hip fracture cohort. </w:t>
      </w:r>
    </w:p>
    <w:p w14:paraId="7A8D57A7" w14:textId="77777777" w:rsidR="005A1F62" w:rsidRDefault="005A1F62" w:rsidP="00046F30">
      <w:pPr>
        <w:spacing w:after="0"/>
        <w:jc w:val="both"/>
      </w:pPr>
    </w:p>
    <w:p w14:paraId="548954B6" w14:textId="694C2A15" w:rsidR="00750733" w:rsidRDefault="00750733" w:rsidP="005A1F62">
      <w:pPr>
        <w:spacing w:after="0"/>
        <w:jc w:val="both"/>
      </w:pPr>
      <w:r>
        <w:t>Sandra Cate, CNS Ortho-Geriatrics, Waikato Hospital</w:t>
      </w:r>
    </w:p>
    <w:p w14:paraId="5D741A42" w14:textId="77777777" w:rsidR="0048029B" w:rsidRPr="00CE2EF6" w:rsidRDefault="0048029B" w:rsidP="0048029B">
      <w:pPr>
        <w:pStyle w:val="Heading1"/>
        <w:jc w:val="both"/>
      </w:pPr>
    </w:p>
    <w:p w14:paraId="133241B7" w14:textId="77777777" w:rsidR="006043E3" w:rsidRDefault="006043E3">
      <w:pPr>
        <w:rPr>
          <w:rFonts w:asciiTheme="majorHAnsi" w:eastAsiaTheme="majorEastAsia" w:hAnsiTheme="majorHAnsi" w:cstheme="majorBidi"/>
          <w:color w:val="2E74B5" w:themeColor="accent1" w:themeShade="BF"/>
          <w:sz w:val="32"/>
          <w:szCs w:val="32"/>
        </w:rPr>
      </w:pPr>
      <w:r>
        <w:br w:type="page"/>
      </w:r>
    </w:p>
    <w:p w14:paraId="14BB17D8" w14:textId="5312CC3E" w:rsidR="001309E8" w:rsidRPr="00CE2EF6" w:rsidRDefault="001309E8" w:rsidP="00CE2EF6">
      <w:pPr>
        <w:pStyle w:val="Heading1"/>
        <w:jc w:val="both"/>
      </w:pPr>
      <w:bookmarkStart w:id="22" w:name="_Toc21443867"/>
      <w:r w:rsidRPr="00CE2EF6">
        <w:t>Appendix 2: ANZHFR</w:t>
      </w:r>
      <w:r w:rsidR="005D38A2" w:rsidRPr="00CE2EF6">
        <w:t xml:space="preserve"> Participation</w:t>
      </w:r>
      <w:bookmarkEnd w:id="22"/>
    </w:p>
    <w:p w14:paraId="05689971" w14:textId="697DCAF8" w:rsidR="001309E8" w:rsidRPr="001309E8" w:rsidRDefault="001309E8" w:rsidP="005A1F62">
      <w:pPr>
        <w:spacing w:after="0"/>
        <w:jc w:val="both"/>
        <w:rPr>
          <w:b/>
        </w:rPr>
      </w:pPr>
      <w:r w:rsidRPr="001309E8">
        <w:rPr>
          <w:b/>
        </w:rPr>
        <w:t>Wha</w:t>
      </w:r>
      <w:r>
        <w:rPr>
          <w:b/>
        </w:rPr>
        <w:t>t does your hospital need to do</w:t>
      </w:r>
      <w:r w:rsidRPr="001309E8">
        <w:rPr>
          <w:b/>
        </w:rPr>
        <w:t>?</w:t>
      </w:r>
    </w:p>
    <w:p w14:paraId="50CDCAA0" w14:textId="20A3A25C" w:rsidR="00FF70ED" w:rsidRDefault="00FF70ED" w:rsidP="00046F30">
      <w:pPr>
        <w:spacing w:after="0"/>
        <w:jc w:val="both"/>
      </w:pPr>
      <w:r>
        <w:t>To contribute patient-level data to the ANZHFR, hospitals need to have both ethics and governance/locality approval. Data collection is ongoing from the date of governance/locality approval. To commence the approval process, contact the Registry Manager in Australia.</w:t>
      </w:r>
    </w:p>
    <w:p w14:paraId="40986A74" w14:textId="77777777" w:rsidR="005A1F62" w:rsidRDefault="005A1F62" w:rsidP="00046F30">
      <w:pPr>
        <w:spacing w:after="0"/>
        <w:jc w:val="both"/>
      </w:pPr>
    </w:p>
    <w:p w14:paraId="01E34EB2" w14:textId="77777777" w:rsidR="00FF70ED" w:rsidRDefault="00FF70ED" w:rsidP="005A1F62">
      <w:pPr>
        <w:spacing w:after="0"/>
        <w:jc w:val="both"/>
      </w:pPr>
      <w:r>
        <w:t>In Australia, the Registry Manager will undertake the majority of the administration required to get ethics approval for sites to contribute patient-level data. The Registry Manager will work with the designated person at each new site to ensure the local research office has all the information they need to undertake the governance review. The ANZHFR needs the following information to start the approval process:</w:t>
      </w:r>
    </w:p>
    <w:p w14:paraId="084EABBA" w14:textId="37E490F5" w:rsidR="00FF70ED" w:rsidRDefault="00FF70ED" w:rsidP="003665FA">
      <w:pPr>
        <w:pStyle w:val="ListParagraph"/>
        <w:numPr>
          <w:ilvl w:val="0"/>
          <w:numId w:val="23"/>
        </w:numPr>
        <w:jc w:val="both"/>
      </w:pPr>
      <w:r>
        <w:t>A local clinical lead (Principal Investigator) and site co-ordinat</w:t>
      </w:r>
      <w:r w:rsidR="00B670F8">
        <w:t>or (Associate Investigator);</w:t>
      </w:r>
    </w:p>
    <w:p w14:paraId="262F8485" w14:textId="3570C8DC" w:rsidR="00FF70ED" w:rsidRDefault="00FF70ED" w:rsidP="00046F30">
      <w:pPr>
        <w:pStyle w:val="ListParagraph"/>
        <w:numPr>
          <w:ilvl w:val="0"/>
          <w:numId w:val="23"/>
        </w:numPr>
        <w:spacing w:after="0"/>
        <w:jc w:val="both"/>
      </w:pPr>
      <w:r>
        <w:t>A short CV for each investigator.</w:t>
      </w:r>
    </w:p>
    <w:p w14:paraId="682B0897" w14:textId="77777777" w:rsidR="00F44868" w:rsidRDefault="00F44868" w:rsidP="00046F30">
      <w:pPr>
        <w:spacing w:after="0"/>
        <w:jc w:val="both"/>
        <w:rPr>
          <w:b/>
        </w:rPr>
      </w:pPr>
      <w:bookmarkStart w:id="23" w:name="_Toc517865897"/>
    </w:p>
    <w:p w14:paraId="464CB675" w14:textId="0E337C0F" w:rsidR="00FF70ED" w:rsidRPr="00FF70ED" w:rsidRDefault="00934456" w:rsidP="005A1F62">
      <w:pPr>
        <w:spacing w:after="0"/>
        <w:jc w:val="both"/>
        <w:rPr>
          <w:b/>
        </w:rPr>
      </w:pPr>
      <w:r>
        <w:rPr>
          <w:b/>
        </w:rPr>
        <w:t>R</w:t>
      </w:r>
      <w:r w:rsidR="005D38A2">
        <w:rPr>
          <w:b/>
        </w:rPr>
        <w:t>ecommendations for</w:t>
      </w:r>
      <w:r w:rsidR="00FF70ED" w:rsidRPr="00FF70ED">
        <w:rPr>
          <w:b/>
        </w:rPr>
        <w:t xml:space="preserve"> local governance</w:t>
      </w:r>
      <w:bookmarkEnd w:id="23"/>
      <w:r w:rsidR="005D38A2">
        <w:rPr>
          <w:b/>
        </w:rPr>
        <w:t xml:space="preserve"> of participation</w:t>
      </w:r>
      <w:r w:rsidR="00FF70ED" w:rsidRPr="00FF70ED">
        <w:rPr>
          <w:b/>
        </w:rPr>
        <w:t>?</w:t>
      </w:r>
    </w:p>
    <w:p w14:paraId="18FA629B" w14:textId="0EE44166" w:rsidR="00FF70ED" w:rsidRDefault="00FF70ED" w:rsidP="00046F30">
      <w:pPr>
        <w:spacing w:after="0"/>
        <w:jc w:val="both"/>
      </w:pPr>
      <w:r w:rsidRPr="00192F64">
        <w:t>In order to develop a</w:t>
      </w:r>
      <w:r>
        <w:t>n effective and efficient</w:t>
      </w:r>
      <w:r w:rsidRPr="00192F64">
        <w:t xml:space="preserve"> multidisciplinary approach to hip fracture care in</w:t>
      </w:r>
      <w:r>
        <w:t xml:space="preserve"> a hospital (the site)</w:t>
      </w:r>
      <w:r w:rsidRPr="00192F64">
        <w:t>, all relevant disciplines must take an active role in the development, implementation and ongoing overs</w:t>
      </w:r>
      <w:r>
        <w:t>ight of participation in the Registry. This also encourages local initiatives to improve the quality of hip fracture care provided to patients at each site.</w:t>
      </w:r>
    </w:p>
    <w:p w14:paraId="65AD9B07" w14:textId="77777777" w:rsidR="005A1F62" w:rsidRDefault="005A1F62" w:rsidP="00046F30">
      <w:pPr>
        <w:spacing w:after="0"/>
        <w:jc w:val="both"/>
      </w:pPr>
    </w:p>
    <w:p w14:paraId="6287ADFB" w14:textId="09353D8D" w:rsidR="00FF70ED" w:rsidRDefault="00FF70ED" w:rsidP="00046F30">
      <w:pPr>
        <w:spacing w:after="0"/>
        <w:jc w:val="both"/>
      </w:pPr>
      <w:r w:rsidRPr="00192F64">
        <w:t>Based on experience from other countries, estab</w:t>
      </w:r>
      <w:r>
        <w:t xml:space="preserve">lishing a multidisciplinary, hospital </w:t>
      </w:r>
      <w:r w:rsidRPr="00192F64">
        <w:t xml:space="preserve">stakeholder group at the outset helps </w:t>
      </w:r>
      <w:r>
        <w:t>achieve</w:t>
      </w:r>
      <w:r w:rsidRPr="00192F64">
        <w:t xml:space="preserve"> success</w:t>
      </w:r>
      <w:r>
        <w:t>ful</w:t>
      </w:r>
      <w:r w:rsidRPr="00192F64">
        <w:t xml:space="preserve"> implementation</w:t>
      </w:r>
      <w:r>
        <w:t xml:space="preserve"> of the ANZHFR at a hospital</w:t>
      </w:r>
      <w:r w:rsidRPr="00192F64">
        <w:t xml:space="preserve">. </w:t>
      </w:r>
      <w:r>
        <w:t>The stakeholder</w:t>
      </w:r>
      <w:r w:rsidRPr="00192F64">
        <w:t xml:space="preserve"> group may include representatives from medicine (geriatrician or general physician), surgery (orthopaedi</w:t>
      </w:r>
      <w:r>
        <w:t xml:space="preserve">cs), nursing and allied health, and </w:t>
      </w:r>
      <w:r w:rsidRPr="00192F64">
        <w:t xml:space="preserve">representatives from </w:t>
      </w:r>
      <w:r>
        <w:t>other areas of the</w:t>
      </w:r>
      <w:r w:rsidRPr="00192F64">
        <w:t xml:space="preserve"> hip fracture care </w:t>
      </w:r>
      <w:r>
        <w:t xml:space="preserve">journey may also be included: </w:t>
      </w:r>
      <w:r w:rsidRPr="00192F64">
        <w:t xml:space="preserve">anaesthetists, emergency physicians, rehabilitation specialists and fracture liaison coordinators. </w:t>
      </w:r>
      <w:r>
        <w:t>It is possible a</w:t>
      </w:r>
      <w:r w:rsidRPr="00192F64">
        <w:t xml:space="preserve"> group will already exist as part of local efforts to create a whole of system approach t</w:t>
      </w:r>
      <w:r w:rsidR="005A1F62">
        <w:t>o falls and fracture management</w:t>
      </w:r>
      <w:r w:rsidR="00046F30">
        <w:t>.</w:t>
      </w:r>
    </w:p>
    <w:p w14:paraId="5B20DDA8" w14:textId="77777777" w:rsidR="005A1F62" w:rsidRDefault="005A1F62" w:rsidP="00046F30">
      <w:pPr>
        <w:spacing w:after="0"/>
        <w:jc w:val="both"/>
      </w:pPr>
    </w:p>
    <w:p w14:paraId="17C22006" w14:textId="1FB9ADA4" w:rsidR="00FF70ED" w:rsidRDefault="00B670F8" w:rsidP="003611B0">
      <w:pPr>
        <w:spacing w:after="0"/>
        <w:jc w:val="both"/>
      </w:pPr>
      <w:r>
        <w:t>At a site, a local clinical l</w:t>
      </w:r>
      <w:r w:rsidR="00FF70ED">
        <w:t>ea</w:t>
      </w:r>
      <w:r>
        <w:t>d (Principal Investigator) and s</w:t>
      </w:r>
      <w:r w:rsidR="00FF70ED">
        <w:t>ite co-ordinator (Associate Investigator) need to be identified. These two people will be responsible for data quality and governance, and implementation of the ANZHFR at the hospital. Additional Associate Investigators may be included, and these people may represent supporting departments within the hospital.</w:t>
      </w:r>
    </w:p>
    <w:p w14:paraId="0ED0B6FA" w14:textId="77777777" w:rsidR="00F44868" w:rsidRDefault="00F44868" w:rsidP="003611B0">
      <w:pPr>
        <w:spacing w:after="0"/>
        <w:jc w:val="both"/>
        <w:rPr>
          <w:b/>
        </w:rPr>
      </w:pPr>
      <w:bookmarkStart w:id="24" w:name="_Toc517865898"/>
    </w:p>
    <w:p w14:paraId="0D5335EA" w14:textId="0777825C" w:rsidR="00FF70ED" w:rsidRPr="00FF70ED" w:rsidRDefault="00FF70ED" w:rsidP="005A1F62">
      <w:pPr>
        <w:spacing w:after="0"/>
        <w:jc w:val="both"/>
        <w:rPr>
          <w:b/>
        </w:rPr>
      </w:pPr>
      <w:r w:rsidRPr="00FF70ED">
        <w:rPr>
          <w:b/>
        </w:rPr>
        <w:t>Who is the local Clinical Lead / Principal Investigator</w:t>
      </w:r>
      <w:bookmarkEnd w:id="24"/>
      <w:r w:rsidRPr="00FF70ED">
        <w:rPr>
          <w:b/>
        </w:rPr>
        <w:t>?</w:t>
      </w:r>
    </w:p>
    <w:p w14:paraId="00552B40" w14:textId="42C3F400" w:rsidR="00FF70ED" w:rsidRDefault="00B670F8" w:rsidP="003611B0">
      <w:pPr>
        <w:spacing w:after="0"/>
        <w:jc w:val="both"/>
      </w:pPr>
      <w:r>
        <w:t>The local clinical l</w:t>
      </w:r>
      <w:r w:rsidR="00FF70ED">
        <w:t>ead / Principal Investigator takes overall responsibility for the ANZHFR at each site. They will be from a clinical area involved in the care of people who have fractured their hip: geriatric medicine, orthopaedics or anaesthetics are the most common.</w:t>
      </w:r>
    </w:p>
    <w:p w14:paraId="74EC7BEC" w14:textId="77777777" w:rsidR="005A1F62" w:rsidRDefault="005A1F62" w:rsidP="003611B0">
      <w:pPr>
        <w:spacing w:after="0"/>
        <w:jc w:val="both"/>
      </w:pPr>
    </w:p>
    <w:p w14:paraId="5E68F1BE" w14:textId="1861A465" w:rsidR="00FF70ED" w:rsidRDefault="00FF70ED" w:rsidP="005A1F62">
      <w:pPr>
        <w:spacing w:after="0"/>
        <w:jc w:val="both"/>
      </w:pPr>
      <w:r>
        <w:t>The responsibilities of the Principal Investigator include:</w:t>
      </w:r>
    </w:p>
    <w:p w14:paraId="7B0EE867" w14:textId="77777777" w:rsidR="00FF70ED" w:rsidRDefault="00FF70ED" w:rsidP="003665FA">
      <w:pPr>
        <w:pStyle w:val="ListParagraph"/>
        <w:numPr>
          <w:ilvl w:val="0"/>
          <w:numId w:val="24"/>
        </w:numPr>
        <w:spacing w:after="0"/>
        <w:ind w:left="723"/>
        <w:jc w:val="both"/>
      </w:pPr>
      <w:r>
        <w:t>Being a first point of contact for the ANZHFR, the hospital executive and other clinical departments;</w:t>
      </w:r>
    </w:p>
    <w:p w14:paraId="05F6B29B" w14:textId="77777777" w:rsidR="00FF70ED" w:rsidRDefault="00FF70ED" w:rsidP="003665FA">
      <w:pPr>
        <w:pStyle w:val="ListParagraph"/>
        <w:numPr>
          <w:ilvl w:val="0"/>
          <w:numId w:val="24"/>
        </w:numPr>
        <w:spacing w:after="0"/>
        <w:ind w:left="723"/>
        <w:jc w:val="both"/>
      </w:pPr>
      <w:r>
        <w:t>Data governance, ensuring the data is securely stored and only accessed by appropriate people, and de-identified before analysis and use;</w:t>
      </w:r>
    </w:p>
    <w:p w14:paraId="642E8919" w14:textId="77777777" w:rsidR="00FF70ED" w:rsidRDefault="00FF70ED" w:rsidP="003665FA">
      <w:pPr>
        <w:pStyle w:val="ListParagraph"/>
        <w:numPr>
          <w:ilvl w:val="0"/>
          <w:numId w:val="24"/>
        </w:numPr>
        <w:spacing w:after="0"/>
        <w:ind w:left="723"/>
        <w:jc w:val="both"/>
      </w:pPr>
      <w:r>
        <w:t>Checking the data is being collected and submitted on a regular basis;</w:t>
      </w:r>
    </w:p>
    <w:p w14:paraId="684E6509" w14:textId="77777777" w:rsidR="00FF70ED" w:rsidRDefault="00FF70ED" w:rsidP="003665FA">
      <w:pPr>
        <w:pStyle w:val="ListParagraph"/>
        <w:numPr>
          <w:ilvl w:val="0"/>
          <w:numId w:val="24"/>
        </w:numPr>
        <w:spacing w:after="0"/>
        <w:ind w:left="723"/>
        <w:jc w:val="both"/>
      </w:pPr>
      <w:r>
        <w:t>Checking the quality of the data submitted to the ANZHFR from their site;</w:t>
      </w:r>
    </w:p>
    <w:p w14:paraId="31E8D2C9" w14:textId="74E42B96" w:rsidR="00FF70ED" w:rsidRDefault="00FF70ED" w:rsidP="00014A9F">
      <w:pPr>
        <w:pStyle w:val="ListParagraph"/>
        <w:numPr>
          <w:ilvl w:val="0"/>
          <w:numId w:val="24"/>
        </w:numPr>
        <w:spacing w:after="0"/>
        <w:jc w:val="both"/>
      </w:pPr>
      <w:r>
        <w:t>Using the data to improve the standard of care for patients with hip fractures.</w:t>
      </w:r>
    </w:p>
    <w:p w14:paraId="706913D9" w14:textId="77777777" w:rsidR="003611B0" w:rsidRDefault="003611B0" w:rsidP="003611B0">
      <w:pPr>
        <w:pStyle w:val="ListParagraph"/>
        <w:spacing w:after="0"/>
        <w:jc w:val="both"/>
      </w:pPr>
    </w:p>
    <w:p w14:paraId="4BEB3479" w14:textId="0CBB9F20" w:rsidR="00FF70ED" w:rsidRPr="00FF70ED" w:rsidRDefault="00FF70ED" w:rsidP="005A1F62">
      <w:pPr>
        <w:spacing w:after="0"/>
        <w:jc w:val="both"/>
        <w:rPr>
          <w:b/>
        </w:rPr>
      </w:pPr>
      <w:bookmarkStart w:id="25" w:name="_Toc517865899"/>
      <w:r w:rsidRPr="00FF70ED">
        <w:rPr>
          <w:b/>
        </w:rPr>
        <w:t>What is t</w:t>
      </w:r>
      <w:r w:rsidR="00A74675">
        <w:rPr>
          <w:b/>
        </w:rPr>
        <w:t>he role of the Site Coordinator</w:t>
      </w:r>
      <w:r w:rsidRPr="00FF70ED">
        <w:rPr>
          <w:b/>
        </w:rPr>
        <w:t>/ Associate Investigator</w:t>
      </w:r>
      <w:bookmarkEnd w:id="25"/>
      <w:r w:rsidRPr="00FF70ED">
        <w:rPr>
          <w:b/>
        </w:rPr>
        <w:t>?</w:t>
      </w:r>
    </w:p>
    <w:p w14:paraId="1B3D0C9A" w14:textId="438733A7" w:rsidR="00FF70ED" w:rsidRDefault="00FF70ED" w:rsidP="003611B0">
      <w:pPr>
        <w:spacing w:after="0"/>
        <w:jc w:val="both"/>
      </w:pPr>
      <w:r>
        <w:t>The Site Coordinator / Associate Investigator is involved in the day-to-day activities of patient identification, provision of information sheets to patients and/or their families, data collection and data submission to the ANZHFR. They may be nurses, allied health clinicians, fracture liaison coordinators, or junior doctors.</w:t>
      </w:r>
    </w:p>
    <w:p w14:paraId="2B7EA8C2" w14:textId="77777777" w:rsidR="00014A9F" w:rsidRDefault="00014A9F" w:rsidP="003611B0">
      <w:pPr>
        <w:spacing w:after="0"/>
        <w:jc w:val="both"/>
      </w:pPr>
    </w:p>
    <w:p w14:paraId="03944B07" w14:textId="08A48B3F" w:rsidR="005A1F62" w:rsidRDefault="00FF70ED" w:rsidP="005A1F62">
      <w:pPr>
        <w:spacing w:after="0"/>
        <w:jc w:val="both"/>
      </w:pPr>
      <w:r>
        <w:t>The responsibilities of the Associate Investigator include:</w:t>
      </w:r>
    </w:p>
    <w:p w14:paraId="342AE176" w14:textId="77777777" w:rsidR="00FF70ED" w:rsidRDefault="00FF70ED" w:rsidP="003665FA">
      <w:pPr>
        <w:pStyle w:val="ListParagraph"/>
        <w:numPr>
          <w:ilvl w:val="0"/>
          <w:numId w:val="25"/>
        </w:numPr>
        <w:spacing w:after="0"/>
        <w:ind w:left="723"/>
        <w:jc w:val="both"/>
      </w:pPr>
      <w:r>
        <w:t>Being a point of contact for the ANZHFR;</w:t>
      </w:r>
    </w:p>
    <w:p w14:paraId="6C183CA3" w14:textId="77777777" w:rsidR="00FF70ED" w:rsidRDefault="00FF70ED" w:rsidP="003665FA">
      <w:pPr>
        <w:pStyle w:val="ListParagraph"/>
        <w:numPr>
          <w:ilvl w:val="0"/>
          <w:numId w:val="25"/>
        </w:numPr>
        <w:spacing w:after="0"/>
        <w:ind w:left="723"/>
        <w:jc w:val="both"/>
      </w:pPr>
      <w:r>
        <w:t>Being a point of contact for patients with a hip fracture and their families;</w:t>
      </w:r>
    </w:p>
    <w:p w14:paraId="78DB3212" w14:textId="77777777" w:rsidR="00FF70ED" w:rsidRDefault="00FF70ED" w:rsidP="003665FA">
      <w:pPr>
        <w:pStyle w:val="ListParagraph"/>
        <w:numPr>
          <w:ilvl w:val="0"/>
          <w:numId w:val="25"/>
        </w:numPr>
        <w:spacing w:after="0"/>
        <w:ind w:left="723"/>
        <w:jc w:val="both"/>
      </w:pPr>
      <w:r>
        <w:t>Ensuring the data is securely stored and only appropriate people have access to the data;</w:t>
      </w:r>
    </w:p>
    <w:p w14:paraId="4A3BF78C" w14:textId="5D384768" w:rsidR="00FF70ED" w:rsidRDefault="00FF70ED" w:rsidP="003611B0">
      <w:pPr>
        <w:pStyle w:val="ListParagraph"/>
        <w:numPr>
          <w:ilvl w:val="0"/>
          <w:numId w:val="25"/>
        </w:numPr>
        <w:spacing w:after="0"/>
        <w:jc w:val="both"/>
      </w:pPr>
      <w:r>
        <w:t>Overseeing data collection and submission of data to the ANZHFR.</w:t>
      </w:r>
    </w:p>
    <w:p w14:paraId="25A1B380" w14:textId="77777777" w:rsidR="00014A9F" w:rsidRDefault="00014A9F" w:rsidP="003611B0">
      <w:pPr>
        <w:spacing w:after="0"/>
        <w:jc w:val="both"/>
      </w:pPr>
    </w:p>
    <w:p w14:paraId="4FDA32FA" w14:textId="50C1608C" w:rsidR="001309E8" w:rsidRDefault="00FF70ED" w:rsidP="005A1F62">
      <w:pPr>
        <w:spacing w:after="0"/>
        <w:jc w:val="both"/>
      </w:pPr>
      <w:r>
        <w:t>If a Clinical Lead / Principal Investigator or Site Coordinator / Associate Investigator steps down from the role or moves to another hospital, he/she should advise the ANZHFR and provide details of the new investigator. Notification to the research office of change in personnel will be done by the ANZHFR, with the support of the local investigators.</w:t>
      </w:r>
    </w:p>
    <w:p w14:paraId="6DC9D399" w14:textId="77777777" w:rsidR="006043E3" w:rsidRDefault="006043E3">
      <w:pPr>
        <w:rPr>
          <w:rFonts w:asciiTheme="majorHAnsi" w:eastAsiaTheme="majorEastAsia" w:hAnsiTheme="majorHAnsi" w:cstheme="majorBidi"/>
          <w:color w:val="2E74B5" w:themeColor="accent1" w:themeShade="BF"/>
          <w:sz w:val="32"/>
          <w:szCs w:val="32"/>
        </w:rPr>
      </w:pPr>
      <w:r>
        <w:br w:type="page"/>
      </w:r>
    </w:p>
    <w:p w14:paraId="7F3A8DE8" w14:textId="46D17D89" w:rsidR="00CE2EF6" w:rsidRDefault="001309E8" w:rsidP="00CE2EF6">
      <w:pPr>
        <w:pStyle w:val="Heading1"/>
        <w:jc w:val="both"/>
      </w:pPr>
      <w:bookmarkStart w:id="26" w:name="_Toc21443868"/>
      <w:r>
        <w:t xml:space="preserve">Appendix 3: </w:t>
      </w:r>
      <w:r w:rsidR="00274D4C">
        <w:t>ANZHFR -</w:t>
      </w:r>
      <w:r w:rsidRPr="001309E8">
        <w:t xml:space="preserve"> How to get starte</w:t>
      </w:r>
      <w:r w:rsidR="00934456">
        <w:t>d</w:t>
      </w:r>
      <w:bookmarkEnd w:id="26"/>
    </w:p>
    <w:p w14:paraId="6F24879E" w14:textId="47F438F9" w:rsidR="001309E8" w:rsidRPr="001309E8" w:rsidRDefault="001309E8" w:rsidP="00886754">
      <w:pPr>
        <w:spacing w:afterLines="160" w:after="384"/>
        <w:contextualSpacing/>
        <w:jc w:val="both"/>
        <w:rPr>
          <w:b/>
        </w:rPr>
      </w:pPr>
      <w:r w:rsidRPr="001309E8">
        <w:rPr>
          <w:b/>
        </w:rPr>
        <w:t>Familiarisation with Demo Website</w:t>
      </w:r>
    </w:p>
    <w:p w14:paraId="5DBFDACB" w14:textId="3F593417" w:rsidR="001309E8" w:rsidRDefault="001309E8" w:rsidP="00886754">
      <w:pPr>
        <w:spacing w:afterLines="160" w:after="384"/>
        <w:contextualSpacing/>
        <w:jc w:val="both"/>
      </w:pPr>
      <w:r w:rsidRPr="001309E8">
        <w:t>As a way to get an idea of the mechanics of data entry and what data fields are collected, log on</w:t>
      </w:r>
      <w:r w:rsidR="00FF70ED">
        <w:t xml:space="preserve"> to the demo website via the ANZ</w:t>
      </w:r>
      <w:r w:rsidRPr="001309E8">
        <w:t xml:space="preserve">HFR website </w:t>
      </w:r>
      <w:hyperlink r:id="rId25" w:history="1">
        <w:r w:rsidRPr="001309E8">
          <w:rPr>
            <w:rStyle w:val="Hyperlink"/>
          </w:rPr>
          <w:t>www.anzhfr.org</w:t>
        </w:r>
      </w:hyperlink>
      <w:r w:rsidRPr="001309E8">
        <w:t xml:space="preserve">. </w:t>
      </w:r>
    </w:p>
    <w:p w14:paraId="6D3A2709" w14:textId="77777777" w:rsidR="00E84915" w:rsidRPr="001309E8" w:rsidRDefault="00E84915" w:rsidP="00886754">
      <w:pPr>
        <w:spacing w:afterLines="160" w:after="384"/>
        <w:contextualSpacing/>
        <w:jc w:val="both"/>
        <w:rPr>
          <w:b/>
        </w:rPr>
      </w:pPr>
    </w:p>
    <w:p w14:paraId="775E2850" w14:textId="0A1AA9D9" w:rsidR="001309E8" w:rsidRPr="001309E8" w:rsidRDefault="001309E8" w:rsidP="00886754">
      <w:pPr>
        <w:spacing w:afterLines="160" w:after="384"/>
        <w:contextualSpacing/>
        <w:jc w:val="both"/>
        <w:rPr>
          <w:b/>
        </w:rPr>
      </w:pPr>
      <w:r w:rsidRPr="001309E8">
        <w:rPr>
          <w:b/>
        </w:rPr>
        <w:t>Familiarisation with Data Dictionary and Data Collection Form</w:t>
      </w:r>
    </w:p>
    <w:p w14:paraId="631DFE92" w14:textId="45F35073" w:rsidR="00E26234" w:rsidRPr="001309E8" w:rsidRDefault="001309E8" w:rsidP="00886754">
      <w:pPr>
        <w:spacing w:afterLines="160" w:after="384"/>
        <w:contextualSpacing/>
        <w:jc w:val="both"/>
      </w:pPr>
      <w:r w:rsidRPr="001309E8">
        <w:t>Please note that Hip Fracture Clinical Care Standards</w:t>
      </w:r>
      <w:r w:rsidR="00934456" w:rsidRPr="008A3F4F">
        <w:rPr>
          <w:vertAlign w:val="superscript"/>
        </w:rPr>
        <w:fldChar w:fldCharType="begin"/>
      </w:r>
      <w:r w:rsidR="00934456" w:rsidRPr="008A3F4F">
        <w:rPr>
          <w:vertAlign w:val="superscript"/>
        </w:rPr>
        <w:instrText xml:space="preserve"> NOTEREF _Ref18066376 \h </w:instrText>
      </w:r>
      <w:r w:rsidR="00934456">
        <w:rPr>
          <w:vertAlign w:val="superscript"/>
        </w:rPr>
        <w:instrText xml:space="preserve"> \* MERGEFORMAT </w:instrText>
      </w:r>
      <w:r w:rsidR="00934456" w:rsidRPr="008A3F4F">
        <w:rPr>
          <w:vertAlign w:val="superscript"/>
        </w:rPr>
      </w:r>
      <w:r w:rsidR="00934456" w:rsidRPr="008A3F4F">
        <w:rPr>
          <w:vertAlign w:val="superscript"/>
        </w:rPr>
        <w:fldChar w:fldCharType="separate"/>
      </w:r>
      <w:r w:rsidR="008B7C65">
        <w:rPr>
          <w:vertAlign w:val="superscript"/>
        </w:rPr>
        <w:t>35</w:t>
      </w:r>
      <w:r w:rsidR="00934456" w:rsidRPr="008A3F4F">
        <w:rPr>
          <w:vertAlign w:val="superscript"/>
        </w:rPr>
        <w:fldChar w:fldCharType="end"/>
      </w:r>
      <w:r w:rsidRPr="001309E8">
        <w:t xml:space="preserve"> have just been formally adopted by both Australia and New Zealand.</w:t>
      </w:r>
      <w:r w:rsidR="005C672E">
        <w:t xml:space="preserve"> </w:t>
      </w:r>
      <w:r w:rsidRPr="001309E8">
        <w:t>This will entail some additional fields in the data set to reflect these standards.</w:t>
      </w:r>
      <w:r w:rsidR="005C672E">
        <w:t xml:space="preserve"> </w:t>
      </w:r>
      <w:r w:rsidRPr="001309E8">
        <w:t>This will start on 1</w:t>
      </w:r>
      <w:r w:rsidRPr="001309E8">
        <w:rPr>
          <w:vertAlign w:val="superscript"/>
        </w:rPr>
        <w:t>st</w:t>
      </w:r>
      <w:r w:rsidR="00E84915">
        <w:t xml:space="preserve"> January 20</w:t>
      </w:r>
      <w:r w:rsidRPr="001309E8">
        <w:t>17.</w:t>
      </w:r>
    </w:p>
    <w:p w14:paraId="55661BBA" w14:textId="05F7A30F" w:rsidR="001309E8" w:rsidRPr="001309E8" w:rsidRDefault="001309E8" w:rsidP="00FE612A">
      <w:pPr>
        <w:numPr>
          <w:ilvl w:val="0"/>
          <w:numId w:val="19"/>
        </w:numPr>
        <w:spacing w:afterLines="160" w:after="384"/>
        <w:ind w:firstLine="66"/>
        <w:contextualSpacing/>
        <w:jc w:val="both"/>
      </w:pPr>
      <w:r w:rsidRPr="001309E8">
        <w:t>Data dictionary</w:t>
      </w:r>
      <w:r w:rsidR="00E84915">
        <w:t>:</w:t>
      </w:r>
    </w:p>
    <w:p w14:paraId="49429BF7" w14:textId="5B0FFD91" w:rsidR="001309E8" w:rsidRPr="001309E8" w:rsidRDefault="001309E8" w:rsidP="00FE612A">
      <w:pPr>
        <w:numPr>
          <w:ilvl w:val="1"/>
          <w:numId w:val="19"/>
        </w:numPr>
        <w:spacing w:afterLines="160" w:after="384"/>
        <w:ind w:hanging="229"/>
        <w:contextualSpacing/>
        <w:jc w:val="both"/>
      </w:pPr>
      <w:r w:rsidRPr="001309E8">
        <w:t>This is a large document that details the definition and purpose of each of the approxi</w:t>
      </w:r>
      <w:r w:rsidR="00B670F8">
        <w:t>mately 56 data items;</w:t>
      </w:r>
      <w:r w:rsidRPr="001309E8">
        <w:t xml:space="preserve"> </w:t>
      </w:r>
    </w:p>
    <w:p w14:paraId="19D0F8CB" w14:textId="6F01B796" w:rsidR="00E26234" w:rsidRPr="001309E8" w:rsidRDefault="001309E8" w:rsidP="00FE612A">
      <w:pPr>
        <w:numPr>
          <w:ilvl w:val="1"/>
          <w:numId w:val="19"/>
        </w:numPr>
        <w:spacing w:afterLines="160" w:after="384"/>
        <w:ind w:hanging="229"/>
        <w:contextualSpacing/>
        <w:jc w:val="both"/>
      </w:pPr>
      <w:r w:rsidRPr="001309E8">
        <w:t>On first read this should only be scanned so that you know what it contains and to then use it as a resource as needed.</w:t>
      </w:r>
    </w:p>
    <w:p w14:paraId="3AE821C7" w14:textId="673DD63E" w:rsidR="001309E8" w:rsidRPr="001309E8" w:rsidRDefault="001309E8" w:rsidP="00FE612A">
      <w:pPr>
        <w:numPr>
          <w:ilvl w:val="0"/>
          <w:numId w:val="19"/>
        </w:numPr>
        <w:spacing w:afterLines="160" w:after="384"/>
        <w:ind w:firstLine="66"/>
        <w:contextualSpacing/>
        <w:jc w:val="both"/>
      </w:pPr>
      <w:r w:rsidRPr="001309E8">
        <w:t>Data Collection Form</w:t>
      </w:r>
      <w:r w:rsidR="00E84915">
        <w:t>:</w:t>
      </w:r>
    </w:p>
    <w:p w14:paraId="7664B292" w14:textId="0717DED9" w:rsidR="001309E8" w:rsidRPr="001309E8" w:rsidRDefault="001309E8" w:rsidP="00FE612A">
      <w:pPr>
        <w:numPr>
          <w:ilvl w:val="1"/>
          <w:numId w:val="19"/>
        </w:numPr>
        <w:spacing w:afterLines="160" w:after="384"/>
        <w:ind w:hanging="229"/>
        <w:contextualSpacing/>
        <w:jc w:val="both"/>
      </w:pPr>
      <w:r w:rsidRPr="001309E8">
        <w:t>The main data collection fits on both sides of a single A4 sheet of paper.</w:t>
      </w:r>
      <w:r w:rsidR="005C672E">
        <w:t xml:space="preserve"> </w:t>
      </w:r>
      <w:r w:rsidRPr="001309E8">
        <w:t>Most of the data items are straight forward to understand, but we think it would be worth going through each item one by one with us to ensure interpretation of ea</w:t>
      </w:r>
      <w:r w:rsidR="00AF6A31">
        <w:t>ch item is correct at the start;</w:t>
      </w:r>
    </w:p>
    <w:p w14:paraId="10237EBB" w14:textId="22E14374" w:rsidR="001309E8" w:rsidRDefault="001309E8" w:rsidP="00FE612A">
      <w:pPr>
        <w:numPr>
          <w:ilvl w:val="1"/>
          <w:numId w:val="19"/>
        </w:numPr>
        <w:spacing w:afterLines="160" w:after="384"/>
        <w:ind w:hanging="229"/>
        <w:contextualSpacing/>
        <w:jc w:val="both"/>
      </w:pPr>
      <w:r w:rsidRPr="001309E8">
        <w:t>The 120-day post-surgery follow ups ar</w:t>
      </w:r>
      <w:r w:rsidR="0097636C">
        <w:t>e straig</w:t>
      </w:r>
      <w:r w:rsidR="00AF6A31">
        <w:t>ht forward;</w:t>
      </w:r>
    </w:p>
    <w:p w14:paraId="68DC92D0" w14:textId="0CBA774C" w:rsidR="001309E8" w:rsidRPr="00E84915" w:rsidRDefault="001309E8" w:rsidP="0097636C">
      <w:pPr>
        <w:numPr>
          <w:ilvl w:val="1"/>
          <w:numId w:val="19"/>
        </w:numPr>
        <w:spacing w:afterLines="160" w:after="384"/>
        <w:ind w:hanging="229"/>
        <w:contextualSpacing/>
        <w:jc w:val="both"/>
      </w:pPr>
      <w:r w:rsidRPr="001309E8">
        <w:t>There are a couple of process issues to be aware of and so we would like to discuss aspects of this process before you start.</w:t>
      </w:r>
    </w:p>
    <w:p w14:paraId="6858383E" w14:textId="77777777" w:rsidR="00384AD6" w:rsidRDefault="00384AD6" w:rsidP="00886754">
      <w:pPr>
        <w:spacing w:afterLines="160" w:after="384"/>
        <w:contextualSpacing/>
        <w:jc w:val="both"/>
        <w:rPr>
          <w:b/>
        </w:rPr>
      </w:pPr>
    </w:p>
    <w:p w14:paraId="70F911F2" w14:textId="77777777" w:rsidR="001309E8" w:rsidRPr="001309E8" w:rsidRDefault="001309E8" w:rsidP="00886754">
      <w:pPr>
        <w:spacing w:afterLines="160" w:after="384"/>
        <w:contextualSpacing/>
        <w:jc w:val="both"/>
        <w:rPr>
          <w:b/>
        </w:rPr>
      </w:pPr>
      <w:r w:rsidRPr="001309E8">
        <w:rPr>
          <w:b/>
        </w:rPr>
        <w:t>Website</w:t>
      </w:r>
    </w:p>
    <w:p w14:paraId="1E326FB2" w14:textId="77777777" w:rsidR="001309E8" w:rsidRPr="001309E8" w:rsidRDefault="001309E8" w:rsidP="00FE612A">
      <w:pPr>
        <w:numPr>
          <w:ilvl w:val="0"/>
          <w:numId w:val="21"/>
        </w:numPr>
        <w:spacing w:afterLines="160" w:after="384"/>
        <w:ind w:firstLine="66"/>
        <w:contextualSpacing/>
        <w:jc w:val="both"/>
      </w:pPr>
      <w:r w:rsidRPr="001309E8">
        <w:t>Once your hospital has site approval we will organise:</w:t>
      </w:r>
    </w:p>
    <w:p w14:paraId="0FF3C008" w14:textId="09A15B76" w:rsidR="001309E8" w:rsidRPr="001309E8" w:rsidRDefault="001309E8" w:rsidP="00FE612A">
      <w:pPr>
        <w:numPr>
          <w:ilvl w:val="1"/>
          <w:numId w:val="21"/>
        </w:numPr>
        <w:spacing w:afterLines="160" w:after="384"/>
        <w:ind w:hanging="229"/>
        <w:contextualSpacing/>
        <w:jc w:val="both"/>
      </w:pPr>
      <w:r w:rsidRPr="001309E8">
        <w:t>For your hospital to be added to the live website</w:t>
      </w:r>
      <w:r w:rsidR="00AF6A31">
        <w:t>;</w:t>
      </w:r>
    </w:p>
    <w:p w14:paraId="58804345" w14:textId="576562BE" w:rsidR="00E26234" w:rsidRPr="001309E8" w:rsidRDefault="001309E8" w:rsidP="00FE612A">
      <w:pPr>
        <w:numPr>
          <w:ilvl w:val="1"/>
          <w:numId w:val="21"/>
        </w:numPr>
        <w:spacing w:afterLines="160" w:after="384"/>
        <w:ind w:hanging="229"/>
        <w:contextualSpacing/>
        <w:jc w:val="both"/>
      </w:pPr>
      <w:r w:rsidRPr="001309E8">
        <w:t>Logons for staff</w:t>
      </w:r>
      <w:r w:rsidR="00E84915">
        <w:t xml:space="preserve"> that will be involved.</w:t>
      </w:r>
    </w:p>
    <w:p w14:paraId="17D5BE2F" w14:textId="0FDEAAC8" w:rsidR="001309E8" w:rsidRPr="00E84915" w:rsidRDefault="001309E8" w:rsidP="00FE612A">
      <w:pPr>
        <w:numPr>
          <w:ilvl w:val="0"/>
          <w:numId w:val="21"/>
        </w:numPr>
        <w:spacing w:afterLines="160" w:after="384"/>
        <w:ind w:firstLine="66"/>
        <w:contextualSpacing/>
        <w:jc w:val="both"/>
      </w:pPr>
      <w:r w:rsidRPr="001309E8">
        <w:t xml:space="preserve">Please note there are no charges to your hospital </w:t>
      </w:r>
      <w:r w:rsidR="005D38A2">
        <w:t>for participation in the registry</w:t>
      </w:r>
      <w:r w:rsidR="00E84915">
        <w:t>.</w:t>
      </w:r>
    </w:p>
    <w:p w14:paraId="1AD94528" w14:textId="77777777" w:rsidR="00886754" w:rsidRDefault="00886754" w:rsidP="00886754">
      <w:pPr>
        <w:spacing w:afterLines="160" w:after="384"/>
        <w:contextualSpacing/>
        <w:jc w:val="both"/>
        <w:rPr>
          <w:b/>
        </w:rPr>
      </w:pPr>
    </w:p>
    <w:p w14:paraId="21C3E9E0" w14:textId="0587ED06" w:rsidR="001309E8" w:rsidRPr="00E26234" w:rsidRDefault="001309E8" w:rsidP="00886754">
      <w:pPr>
        <w:spacing w:afterLines="160" w:after="384"/>
        <w:contextualSpacing/>
        <w:jc w:val="both"/>
      </w:pPr>
      <w:r w:rsidRPr="001309E8">
        <w:rPr>
          <w:b/>
        </w:rPr>
        <w:t>Setting up to collect data</w:t>
      </w:r>
      <w:r w:rsidR="00E26234">
        <w:t xml:space="preserve">- </w:t>
      </w:r>
      <w:r w:rsidR="00AF6A31">
        <w:rPr>
          <w:b/>
        </w:rPr>
        <w:t>t</w:t>
      </w:r>
      <w:r w:rsidRPr="001309E8">
        <w:rPr>
          <w:b/>
        </w:rPr>
        <w:t>ime involvement</w:t>
      </w:r>
    </w:p>
    <w:p w14:paraId="73F00712" w14:textId="243E3BEF" w:rsidR="001309E8" w:rsidRPr="001309E8" w:rsidRDefault="001309E8" w:rsidP="00FE612A">
      <w:pPr>
        <w:numPr>
          <w:ilvl w:val="0"/>
          <w:numId w:val="20"/>
        </w:numPr>
        <w:spacing w:afterLines="160" w:after="384"/>
        <w:ind w:firstLine="207"/>
        <w:contextualSpacing/>
        <w:jc w:val="both"/>
      </w:pPr>
      <w:r w:rsidRPr="001309E8">
        <w:t>Completing data sheet</w:t>
      </w:r>
      <w:r w:rsidR="00AF6A31">
        <w:t>:</w:t>
      </w:r>
    </w:p>
    <w:p w14:paraId="5A4C2F6E" w14:textId="49DC6C44" w:rsidR="001309E8" w:rsidRPr="001309E8" w:rsidRDefault="001309E8" w:rsidP="00EB6710">
      <w:pPr>
        <w:numPr>
          <w:ilvl w:val="1"/>
          <w:numId w:val="20"/>
        </w:numPr>
        <w:spacing w:afterLines="160" w:after="384"/>
        <w:ind w:left="1134" w:hanging="283"/>
        <w:contextualSpacing/>
        <w:jc w:val="both"/>
      </w:pPr>
      <w:r w:rsidRPr="001309E8">
        <w:t>If doing this by sitting at the clinical workstation and with the notes it will take 10-15 minutes</w:t>
      </w:r>
      <w:r w:rsidR="00AF6A31">
        <w:t>;</w:t>
      </w:r>
    </w:p>
    <w:p w14:paraId="7D94AD6F" w14:textId="6AE4E867" w:rsidR="00E26234" w:rsidRPr="001309E8" w:rsidRDefault="001309E8" w:rsidP="00EB6710">
      <w:pPr>
        <w:numPr>
          <w:ilvl w:val="1"/>
          <w:numId w:val="20"/>
        </w:numPr>
        <w:spacing w:afterLines="160" w:after="384"/>
        <w:ind w:left="1134" w:hanging="283"/>
        <w:contextualSpacing/>
        <w:jc w:val="both"/>
      </w:pPr>
      <w:r w:rsidRPr="001309E8">
        <w:t>If doing this on a ward round – it shouldn’t add any time to the ward round as the majority of items you will want to know as part of clinical care</w:t>
      </w:r>
      <w:r w:rsidR="00E84915">
        <w:t>.</w:t>
      </w:r>
    </w:p>
    <w:p w14:paraId="057F4BF1" w14:textId="29DF56F4" w:rsidR="001309E8" w:rsidRPr="001309E8" w:rsidRDefault="001309E8" w:rsidP="00FE612A">
      <w:pPr>
        <w:numPr>
          <w:ilvl w:val="0"/>
          <w:numId w:val="20"/>
        </w:numPr>
        <w:spacing w:afterLines="160" w:after="384"/>
        <w:ind w:firstLine="207"/>
        <w:contextualSpacing/>
        <w:jc w:val="both"/>
      </w:pPr>
      <w:r w:rsidRPr="001309E8">
        <w:t>Entering the data on to the web-site</w:t>
      </w:r>
      <w:r w:rsidR="00AF6A31">
        <w:t>:</w:t>
      </w:r>
    </w:p>
    <w:p w14:paraId="7F910994" w14:textId="1E8F87F7" w:rsidR="001309E8" w:rsidRPr="001309E8" w:rsidRDefault="001309E8" w:rsidP="00EB6710">
      <w:pPr>
        <w:numPr>
          <w:ilvl w:val="1"/>
          <w:numId w:val="20"/>
        </w:numPr>
        <w:spacing w:afterLines="160" w:after="384"/>
        <w:ind w:left="1134" w:hanging="283"/>
        <w:contextualSpacing/>
        <w:jc w:val="both"/>
      </w:pPr>
      <w:r w:rsidRPr="001309E8">
        <w:t>This will take about 10 minutes per patient</w:t>
      </w:r>
      <w:r w:rsidR="00AF6A31">
        <w:t>;</w:t>
      </w:r>
    </w:p>
    <w:p w14:paraId="7A297955" w14:textId="4D68ACDB" w:rsidR="001309E8" w:rsidRPr="001309E8" w:rsidRDefault="001309E8" w:rsidP="00EB6710">
      <w:pPr>
        <w:numPr>
          <w:ilvl w:val="1"/>
          <w:numId w:val="20"/>
        </w:numPr>
        <w:spacing w:afterLines="160" w:after="384"/>
        <w:ind w:left="1134" w:hanging="283"/>
        <w:contextualSpacing/>
        <w:jc w:val="both"/>
      </w:pPr>
      <w:r w:rsidRPr="001309E8">
        <w:t>The website is optimised for mobile devices and so you don’t</w:t>
      </w:r>
      <w:r w:rsidR="00AF6A31">
        <w:t xml:space="preserve"> have to use a desktop computer;</w:t>
      </w:r>
    </w:p>
    <w:p w14:paraId="325BA119" w14:textId="51145817" w:rsidR="00E26234" w:rsidRPr="001309E8" w:rsidRDefault="001309E8" w:rsidP="00EB6710">
      <w:pPr>
        <w:numPr>
          <w:ilvl w:val="1"/>
          <w:numId w:val="20"/>
        </w:numPr>
        <w:spacing w:afterLines="160" w:after="384"/>
        <w:ind w:left="1134" w:hanging="283"/>
        <w:contextualSpacing/>
        <w:jc w:val="both"/>
      </w:pPr>
      <w:r w:rsidRPr="001309E8">
        <w:t>Administration staff can enter the data and save on clinical time</w:t>
      </w:r>
      <w:r w:rsidR="00DB0FB3">
        <w:t xml:space="preserve">. </w:t>
      </w:r>
    </w:p>
    <w:p w14:paraId="16AA1260" w14:textId="5864EFA6" w:rsidR="001309E8" w:rsidRPr="001309E8" w:rsidRDefault="001309E8" w:rsidP="00FE612A">
      <w:pPr>
        <w:numPr>
          <w:ilvl w:val="0"/>
          <w:numId w:val="20"/>
        </w:numPr>
        <w:spacing w:afterLines="160" w:after="384"/>
        <w:ind w:firstLine="207"/>
        <w:contextualSpacing/>
        <w:jc w:val="both"/>
      </w:pPr>
      <w:r w:rsidRPr="001309E8">
        <w:t>Follow up phone calls</w:t>
      </w:r>
      <w:r w:rsidR="00E84915">
        <w:t>:</w:t>
      </w:r>
    </w:p>
    <w:p w14:paraId="158FBB8D" w14:textId="370DC362" w:rsidR="001309E8" w:rsidRPr="001309E8" w:rsidRDefault="001309E8" w:rsidP="00EB6710">
      <w:pPr>
        <w:numPr>
          <w:ilvl w:val="1"/>
          <w:numId w:val="20"/>
        </w:numPr>
        <w:spacing w:afterLines="160" w:after="384"/>
        <w:ind w:left="1134" w:hanging="283"/>
        <w:contextualSpacing/>
        <w:jc w:val="both"/>
      </w:pPr>
      <w:r w:rsidRPr="001309E8">
        <w:t>These take 5-10 minutes</w:t>
      </w:r>
      <w:r w:rsidR="00AF6A31">
        <w:t>;</w:t>
      </w:r>
    </w:p>
    <w:p w14:paraId="461ADF6C" w14:textId="505B6653" w:rsidR="001309E8" w:rsidRPr="001309E8" w:rsidRDefault="001309E8" w:rsidP="00EB6710">
      <w:pPr>
        <w:numPr>
          <w:ilvl w:val="1"/>
          <w:numId w:val="20"/>
        </w:numPr>
        <w:spacing w:afterLines="160" w:after="384"/>
        <w:ind w:left="1134" w:hanging="283"/>
        <w:contextualSpacing/>
        <w:jc w:val="both"/>
      </w:pPr>
      <w:r w:rsidRPr="001309E8">
        <w:t>The information required is simple and can often more easily obtained by a source other than the patient</w:t>
      </w:r>
      <w:r w:rsidR="00AF6A31">
        <w:t>;</w:t>
      </w:r>
    </w:p>
    <w:p w14:paraId="0FFA0BDA" w14:textId="6A4517D5" w:rsidR="001309E8" w:rsidRPr="001309E8" w:rsidRDefault="001309E8" w:rsidP="00EB6710">
      <w:pPr>
        <w:numPr>
          <w:ilvl w:val="1"/>
          <w:numId w:val="20"/>
        </w:numPr>
        <w:spacing w:afterLines="160" w:after="384"/>
        <w:ind w:left="1134" w:hanging="283"/>
        <w:contextualSpacing/>
        <w:jc w:val="both"/>
      </w:pPr>
      <w:r w:rsidRPr="001309E8">
        <w:t>It is an advantage if you know the patient and family, have identified the correct person to phone and have already warned t</w:t>
      </w:r>
      <w:r w:rsidR="00AF6A31">
        <w:t>hem that they will be contacted;</w:t>
      </w:r>
    </w:p>
    <w:p w14:paraId="06A566F7" w14:textId="46022614" w:rsidR="001309E8" w:rsidRPr="001309E8" w:rsidRDefault="001309E8" w:rsidP="00EB6710">
      <w:pPr>
        <w:numPr>
          <w:ilvl w:val="1"/>
          <w:numId w:val="20"/>
        </w:numPr>
        <w:spacing w:afterLines="160" w:after="384"/>
        <w:ind w:left="1134" w:hanging="283"/>
        <w:contextualSpacing/>
        <w:jc w:val="both"/>
      </w:pPr>
      <w:r w:rsidRPr="001309E8">
        <w:t>As many patients will be in residential care, we suggest using your local networks to raise awareness about ANZHFR within the Residential Aged Care sector. It may help if they realise that they may be contacted as part of the follow up.</w:t>
      </w:r>
    </w:p>
    <w:p w14:paraId="126BD11F" w14:textId="77777777" w:rsidR="001309E8" w:rsidRPr="001309E8" w:rsidRDefault="001309E8" w:rsidP="00EB6710">
      <w:pPr>
        <w:numPr>
          <w:ilvl w:val="1"/>
          <w:numId w:val="20"/>
        </w:numPr>
        <w:spacing w:after="0"/>
        <w:ind w:left="1077" w:hanging="226"/>
        <w:contextualSpacing/>
        <w:jc w:val="both"/>
      </w:pPr>
      <w:r w:rsidRPr="001309E8">
        <w:t>The information provided to the Ethics Committee on this topic is listed separately at the end of this document.</w:t>
      </w:r>
    </w:p>
    <w:p w14:paraId="4D425F5D" w14:textId="77777777" w:rsidR="001309E8" w:rsidRPr="001309E8" w:rsidRDefault="001309E8" w:rsidP="008544BF">
      <w:pPr>
        <w:spacing w:after="0"/>
        <w:contextualSpacing/>
        <w:jc w:val="both"/>
      </w:pPr>
    </w:p>
    <w:p w14:paraId="0651491B" w14:textId="77777777" w:rsidR="001309E8" w:rsidRPr="001309E8" w:rsidRDefault="001309E8" w:rsidP="00886754">
      <w:pPr>
        <w:spacing w:afterLines="160" w:after="384"/>
        <w:contextualSpacing/>
        <w:jc w:val="both"/>
        <w:rPr>
          <w:b/>
        </w:rPr>
      </w:pPr>
      <w:r w:rsidRPr="001309E8">
        <w:rPr>
          <w:b/>
        </w:rPr>
        <w:t>System of Data Collection</w:t>
      </w:r>
    </w:p>
    <w:p w14:paraId="43F80215" w14:textId="1F6BDEA6" w:rsidR="00E26234" w:rsidRPr="001309E8" w:rsidRDefault="001309E8" w:rsidP="00FE612A">
      <w:pPr>
        <w:numPr>
          <w:ilvl w:val="0"/>
          <w:numId w:val="22"/>
        </w:numPr>
        <w:spacing w:after="0"/>
        <w:ind w:firstLine="66"/>
        <w:contextualSpacing/>
        <w:jc w:val="both"/>
      </w:pPr>
      <w:r w:rsidRPr="001309E8">
        <w:t>There is no one correct method for sustainable data collection</w:t>
      </w:r>
      <w:r w:rsidR="00E84915">
        <w:t>.</w:t>
      </w:r>
    </w:p>
    <w:p w14:paraId="5DAE65A3" w14:textId="1E99D4EF" w:rsidR="001309E8" w:rsidRPr="001309E8" w:rsidRDefault="001309E8" w:rsidP="00FE612A">
      <w:pPr>
        <w:numPr>
          <w:ilvl w:val="0"/>
          <w:numId w:val="22"/>
        </w:numPr>
        <w:spacing w:after="0"/>
        <w:ind w:firstLine="66"/>
        <w:contextualSpacing/>
        <w:jc w:val="both"/>
      </w:pPr>
      <w:r w:rsidRPr="001309E8">
        <w:t>We recommend a team approach to developing this reflecting both Orthopaedic and Geriatric Medicine interests.</w:t>
      </w:r>
      <w:r w:rsidR="005C672E">
        <w:t xml:space="preserve"> </w:t>
      </w:r>
      <w:r w:rsidRPr="001309E8">
        <w:t>(Also consider Emergency Department, Anaesthetics, Theatre staff, although a small group is likely to be more effective)</w:t>
      </w:r>
      <w:r w:rsidR="00E84915">
        <w:t>:</w:t>
      </w:r>
    </w:p>
    <w:p w14:paraId="65EB81D1" w14:textId="69F50694" w:rsidR="00E26234" w:rsidRPr="001309E8" w:rsidRDefault="001309E8" w:rsidP="0097636C">
      <w:pPr>
        <w:numPr>
          <w:ilvl w:val="1"/>
          <w:numId w:val="22"/>
        </w:numPr>
        <w:spacing w:after="32"/>
        <w:ind w:hanging="229"/>
        <w:contextualSpacing/>
        <w:jc w:val="both"/>
      </w:pPr>
      <w:r w:rsidRPr="001309E8">
        <w:t>This “team” can also review the results on a quarterly basis (see below)</w:t>
      </w:r>
      <w:r w:rsidR="00E84915">
        <w:t>.</w:t>
      </w:r>
    </w:p>
    <w:p w14:paraId="2B0672B9" w14:textId="14182255" w:rsidR="001309E8" w:rsidRPr="001309E8" w:rsidRDefault="001309E8" w:rsidP="0097636C">
      <w:pPr>
        <w:numPr>
          <w:ilvl w:val="0"/>
          <w:numId w:val="22"/>
        </w:numPr>
        <w:spacing w:after="32"/>
        <w:ind w:firstLine="66"/>
        <w:contextualSpacing/>
        <w:jc w:val="both"/>
      </w:pPr>
      <w:r w:rsidRPr="001309E8">
        <w:t>Feedback from the NHFD in the UK has the following suggestions</w:t>
      </w:r>
      <w:r w:rsidR="00E84915">
        <w:t>:</w:t>
      </w:r>
    </w:p>
    <w:p w14:paraId="316BF04F" w14:textId="2B958BC5" w:rsidR="001309E8" w:rsidRPr="001309E8" w:rsidRDefault="001309E8" w:rsidP="0097636C">
      <w:pPr>
        <w:numPr>
          <w:ilvl w:val="1"/>
          <w:numId w:val="22"/>
        </w:numPr>
        <w:spacing w:after="32"/>
        <w:ind w:hanging="229"/>
        <w:contextualSpacing/>
        <w:jc w:val="both"/>
      </w:pPr>
      <w:r w:rsidRPr="001309E8">
        <w:t>The key is having interested and committed person(s)</w:t>
      </w:r>
      <w:r w:rsidR="00AF6A31">
        <w:t>;</w:t>
      </w:r>
    </w:p>
    <w:p w14:paraId="14EEDD05" w14:textId="6F234275" w:rsidR="001309E8" w:rsidRPr="001309E8" w:rsidRDefault="001309E8" w:rsidP="0097636C">
      <w:pPr>
        <w:numPr>
          <w:ilvl w:val="1"/>
          <w:numId w:val="22"/>
        </w:numPr>
        <w:spacing w:after="32"/>
        <w:ind w:hanging="229"/>
        <w:contextualSpacing/>
        <w:jc w:val="both"/>
      </w:pPr>
      <w:r w:rsidRPr="001309E8">
        <w:t>It works better if these persons are involved in the care delivery</w:t>
      </w:r>
      <w:r w:rsidR="00AF6A31">
        <w:t>;</w:t>
      </w:r>
    </w:p>
    <w:p w14:paraId="2AA1C5E2" w14:textId="2DF2660F" w:rsidR="001309E8" w:rsidRPr="001309E8" w:rsidRDefault="001309E8" w:rsidP="0097636C">
      <w:pPr>
        <w:numPr>
          <w:ilvl w:val="1"/>
          <w:numId w:val="22"/>
        </w:numPr>
        <w:spacing w:after="32"/>
        <w:ind w:hanging="229"/>
        <w:contextualSpacing/>
        <w:jc w:val="both"/>
      </w:pPr>
      <w:r w:rsidRPr="001309E8">
        <w:t>Nursing roles tend to be the most reliable</w:t>
      </w:r>
      <w:r w:rsidR="00AF6A31">
        <w:t>;</w:t>
      </w:r>
    </w:p>
    <w:p w14:paraId="1B314A5E" w14:textId="74334C11" w:rsidR="001309E8" w:rsidRPr="001309E8" w:rsidRDefault="001309E8" w:rsidP="0097636C">
      <w:pPr>
        <w:numPr>
          <w:ilvl w:val="1"/>
          <w:numId w:val="22"/>
        </w:numPr>
        <w:spacing w:after="32"/>
        <w:ind w:hanging="229"/>
        <w:contextualSpacing/>
        <w:jc w:val="both"/>
      </w:pPr>
      <w:r w:rsidRPr="001309E8">
        <w:t>Sustainability needs to be considered:</w:t>
      </w:r>
      <w:r w:rsidR="005C672E">
        <w:t xml:space="preserve"> </w:t>
      </w:r>
      <w:r w:rsidRPr="001309E8">
        <w:t>holiday and sickness cover etc</w:t>
      </w:r>
      <w:r w:rsidR="00AF6A31">
        <w:t>;</w:t>
      </w:r>
    </w:p>
    <w:p w14:paraId="4CFEB4C4" w14:textId="2B4540AD" w:rsidR="001309E8" w:rsidRPr="001309E8" w:rsidRDefault="001309E8" w:rsidP="0097636C">
      <w:pPr>
        <w:numPr>
          <w:ilvl w:val="1"/>
          <w:numId w:val="22"/>
        </w:numPr>
        <w:spacing w:after="32"/>
        <w:ind w:hanging="229"/>
        <w:contextualSpacing/>
        <w:jc w:val="both"/>
      </w:pPr>
      <w:r w:rsidRPr="001309E8">
        <w:t>Clerical staff can enter data, saving on clinical time</w:t>
      </w:r>
      <w:r w:rsidR="00AF6A31">
        <w:t>;</w:t>
      </w:r>
    </w:p>
    <w:p w14:paraId="2208AC4D" w14:textId="45886151" w:rsidR="00E26234" w:rsidRPr="001309E8" w:rsidRDefault="001309E8" w:rsidP="0097636C">
      <w:pPr>
        <w:numPr>
          <w:ilvl w:val="1"/>
          <w:numId w:val="22"/>
        </w:numPr>
        <w:spacing w:after="32"/>
        <w:ind w:hanging="229"/>
        <w:contextualSpacing/>
        <w:jc w:val="both"/>
      </w:pPr>
      <w:r w:rsidRPr="001309E8">
        <w:t>It is suggested that there is one person with overall responsibility (usually an SMO).</w:t>
      </w:r>
      <w:r w:rsidR="005C672E">
        <w:t xml:space="preserve"> </w:t>
      </w:r>
      <w:r w:rsidRPr="001309E8">
        <w:t>Data accuracy and completeness can be checked by this person by randomly checking say 10% of entries.</w:t>
      </w:r>
      <w:r w:rsidR="005C672E">
        <w:t xml:space="preserve"> </w:t>
      </w:r>
      <w:r w:rsidRPr="001309E8">
        <w:t xml:space="preserve">This person can chair the quarterly “team” review meetings. </w:t>
      </w:r>
    </w:p>
    <w:p w14:paraId="086CE42A" w14:textId="46A25C1F" w:rsidR="001309E8" w:rsidRPr="001309E8" w:rsidRDefault="001309E8" w:rsidP="0097636C">
      <w:pPr>
        <w:numPr>
          <w:ilvl w:val="0"/>
          <w:numId w:val="22"/>
        </w:numPr>
        <w:spacing w:after="32"/>
        <w:ind w:firstLine="66"/>
        <w:contextualSpacing/>
        <w:jc w:val="both"/>
      </w:pPr>
      <w:r w:rsidRPr="001309E8">
        <w:t>Consider the benefits of the Registry providing information on how hip fractures are</w:t>
      </w:r>
      <w:r w:rsidR="00AF6A31">
        <w:t xml:space="preserve"> being managed in your hospital:</w:t>
      </w:r>
    </w:p>
    <w:p w14:paraId="5479CE76" w14:textId="081FAA1D" w:rsidR="001309E8" w:rsidRPr="001309E8" w:rsidRDefault="001309E8" w:rsidP="0097636C">
      <w:pPr>
        <w:numPr>
          <w:ilvl w:val="1"/>
          <w:numId w:val="22"/>
        </w:numPr>
        <w:spacing w:after="32"/>
        <w:ind w:hanging="229"/>
        <w:contextualSpacing/>
        <w:jc w:val="both"/>
      </w:pPr>
      <w:r w:rsidRPr="001309E8">
        <w:t>Quarterly reports on a number of measures (e.g. time to surgery) will be shown in the web site comparing your hospital with the</w:t>
      </w:r>
      <w:r w:rsidR="006363F3">
        <w:t xml:space="preserve"> average for all contributing Australian</w:t>
      </w:r>
      <w:r w:rsidR="00AF6A31">
        <w:t xml:space="preserve"> hospitals;</w:t>
      </w:r>
    </w:p>
    <w:p w14:paraId="5FF26F57" w14:textId="53B51D86" w:rsidR="001309E8" w:rsidRPr="001309E8" w:rsidRDefault="001309E8" w:rsidP="0097636C">
      <w:pPr>
        <w:numPr>
          <w:ilvl w:val="1"/>
          <w:numId w:val="22"/>
        </w:numPr>
        <w:spacing w:after="32"/>
        <w:ind w:hanging="229"/>
        <w:contextualSpacing/>
        <w:jc w:val="both"/>
      </w:pPr>
      <w:r w:rsidRPr="001309E8">
        <w:t>You will be able to download all your data into a spread sheet for your own analysis</w:t>
      </w:r>
      <w:r w:rsidR="00274D4C">
        <w:t>.</w:t>
      </w:r>
    </w:p>
    <w:p w14:paraId="64A9B98F" w14:textId="68AC6B15" w:rsidR="006043E3" w:rsidRDefault="006043E3" w:rsidP="00DE7FE2">
      <w:pPr>
        <w:spacing w:after="0"/>
        <w:jc w:val="both"/>
      </w:pPr>
      <w:r>
        <w:br w:type="page"/>
      </w:r>
    </w:p>
    <w:p w14:paraId="349D32B5" w14:textId="1C9D8BF6" w:rsidR="00130397" w:rsidRDefault="00130397" w:rsidP="00130397">
      <w:pPr>
        <w:pStyle w:val="Heading1"/>
        <w:jc w:val="both"/>
      </w:pPr>
      <w:bookmarkStart w:id="27" w:name="_Toc21443869"/>
      <w:r>
        <w:t>Appendix 4</w:t>
      </w:r>
      <w:r w:rsidRPr="00CE2EF6">
        <w:t xml:space="preserve">: </w:t>
      </w:r>
      <w:r>
        <w:t>Business change template</w:t>
      </w:r>
      <w:bookmarkEnd w:id="27"/>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9"/>
        <w:gridCol w:w="25"/>
        <w:gridCol w:w="1896"/>
        <w:gridCol w:w="2188"/>
        <w:gridCol w:w="3454"/>
      </w:tblGrid>
      <w:tr w:rsidR="00130397" w:rsidRPr="0003531D" w14:paraId="793CA505" w14:textId="77777777" w:rsidTr="00130397">
        <w:trPr>
          <w:tblHeader/>
        </w:trPr>
        <w:tc>
          <w:tcPr>
            <w:tcW w:w="10632" w:type="dxa"/>
            <w:gridSpan w:val="5"/>
            <w:shd w:val="clear" w:color="auto" w:fill="F3F3F3"/>
          </w:tcPr>
          <w:p w14:paraId="062FF7A8" w14:textId="77777777" w:rsidR="00130397" w:rsidRPr="007D197E" w:rsidRDefault="00130397" w:rsidP="00130397">
            <w:pPr>
              <w:pStyle w:val="Subhead1"/>
              <w:tabs>
                <w:tab w:val="left" w:pos="660"/>
                <w:tab w:val="right" w:leader="dot" w:pos="9063"/>
              </w:tabs>
              <w:rPr>
                <w:b/>
                <w:color w:val="0A3A6E"/>
              </w:rPr>
            </w:pPr>
            <w:r w:rsidRPr="007D197E">
              <w:rPr>
                <w:b/>
                <w:color w:val="0A3A6E"/>
              </w:rPr>
              <w:t>Business Change Summary</w:t>
            </w:r>
          </w:p>
        </w:tc>
      </w:tr>
      <w:tr w:rsidR="00130397" w:rsidRPr="000521D7" w14:paraId="74DE7EC2" w14:textId="77777777" w:rsidTr="00130397">
        <w:trPr>
          <w:cantSplit/>
        </w:trPr>
        <w:tc>
          <w:tcPr>
            <w:tcW w:w="3069" w:type="dxa"/>
            <w:shd w:val="clear" w:color="auto" w:fill="F3F3F3"/>
          </w:tcPr>
          <w:p w14:paraId="2693AB7A" w14:textId="77777777" w:rsidR="00130397" w:rsidRPr="00653279" w:rsidRDefault="00130397" w:rsidP="00130397">
            <w:pPr>
              <w:tabs>
                <w:tab w:val="left" w:pos="660"/>
                <w:tab w:val="right" w:leader="dot" w:pos="9063"/>
              </w:tabs>
              <w:spacing w:before="120" w:after="120"/>
              <w:rPr>
                <w:b/>
                <w:noProof/>
              </w:rPr>
            </w:pPr>
            <w:r w:rsidRPr="00653279">
              <w:rPr>
                <w:b/>
                <w:noProof/>
              </w:rPr>
              <w:t>Directorate</w:t>
            </w:r>
          </w:p>
        </w:tc>
        <w:tc>
          <w:tcPr>
            <w:tcW w:w="7563" w:type="dxa"/>
            <w:gridSpan w:val="4"/>
            <w:shd w:val="clear" w:color="auto" w:fill="auto"/>
          </w:tcPr>
          <w:p w14:paraId="0A262823" w14:textId="77777777" w:rsidR="00130397" w:rsidRPr="004B5D45" w:rsidRDefault="00130397" w:rsidP="00130397">
            <w:pPr>
              <w:tabs>
                <w:tab w:val="left" w:pos="660"/>
                <w:tab w:val="right" w:leader="dot" w:pos="9063"/>
              </w:tabs>
              <w:spacing w:before="120" w:after="120"/>
              <w:rPr>
                <w:noProof/>
              </w:rPr>
            </w:pPr>
          </w:p>
        </w:tc>
      </w:tr>
      <w:tr w:rsidR="00130397" w:rsidRPr="000521D7" w14:paraId="3990E2CC" w14:textId="77777777" w:rsidTr="00130397">
        <w:trPr>
          <w:cantSplit/>
        </w:trPr>
        <w:tc>
          <w:tcPr>
            <w:tcW w:w="3069" w:type="dxa"/>
            <w:shd w:val="clear" w:color="auto" w:fill="F3F3F3"/>
          </w:tcPr>
          <w:p w14:paraId="16B1D396" w14:textId="77777777" w:rsidR="00130397" w:rsidRPr="00653279" w:rsidRDefault="00130397" w:rsidP="00130397">
            <w:pPr>
              <w:tabs>
                <w:tab w:val="left" w:pos="660"/>
                <w:tab w:val="right" w:leader="dot" w:pos="9063"/>
              </w:tabs>
              <w:spacing w:before="120" w:after="120"/>
              <w:rPr>
                <w:b/>
                <w:noProof/>
              </w:rPr>
            </w:pPr>
            <w:r w:rsidRPr="00653279">
              <w:rPr>
                <w:b/>
                <w:noProof/>
              </w:rPr>
              <w:t>Health Unit</w:t>
            </w:r>
          </w:p>
        </w:tc>
        <w:tc>
          <w:tcPr>
            <w:tcW w:w="7563" w:type="dxa"/>
            <w:gridSpan w:val="4"/>
            <w:shd w:val="clear" w:color="auto" w:fill="auto"/>
          </w:tcPr>
          <w:p w14:paraId="3F0EE5C1" w14:textId="77777777" w:rsidR="00130397" w:rsidRPr="004B5D45" w:rsidRDefault="00130397" w:rsidP="00130397">
            <w:pPr>
              <w:tabs>
                <w:tab w:val="left" w:pos="660"/>
                <w:tab w:val="right" w:leader="dot" w:pos="9063"/>
              </w:tabs>
              <w:spacing w:before="120" w:after="120"/>
              <w:rPr>
                <w:noProof/>
              </w:rPr>
            </w:pPr>
          </w:p>
        </w:tc>
      </w:tr>
      <w:tr w:rsidR="00130397" w:rsidRPr="000521D7" w14:paraId="3ADC67D2" w14:textId="77777777" w:rsidTr="00130397">
        <w:trPr>
          <w:cantSplit/>
        </w:trPr>
        <w:tc>
          <w:tcPr>
            <w:tcW w:w="3069" w:type="dxa"/>
            <w:shd w:val="clear" w:color="auto" w:fill="F3F3F3"/>
          </w:tcPr>
          <w:p w14:paraId="0659831B" w14:textId="77777777" w:rsidR="00130397" w:rsidRPr="00653279" w:rsidRDefault="00130397" w:rsidP="00130397">
            <w:pPr>
              <w:tabs>
                <w:tab w:val="left" w:pos="660"/>
                <w:tab w:val="right" w:leader="dot" w:pos="9063"/>
              </w:tabs>
              <w:spacing w:before="120" w:after="120"/>
              <w:rPr>
                <w:b/>
                <w:noProof/>
              </w:rPr>
            </w:pPr>
            <w:r w:rsidRPr="00653279">
              <w:rPr>
                <w:b/>
                <w:noProof/>
              </w:rPr>
              <w:t>Division / Dept / Unit</w:t>
            </w:r>
          </w:p>
        </w:tc>
        <w:tc>
          <w:tcPr>
            <w:tcW w:w="7563" w:type="dxa"/>
            <w:gridSpan w:val="4"/>
            <w:shd w:val="clear" w:color="auto" w:fill="auto"/>
          </w:tcPr>
          <w:p w14:paraId="330751DD" w14:textId="77777777" w:rsidR="00130397" w:rsidRPr="004B5D45" w:rsidRDefault="00130397" w:rsidP="00130397">
            <w:pPr>
              <w:tabs>
                <w:tab w:val="left" w:pos="660"/>
                <w:tab w:val="right" w:leader="dot" w:pos="9063"/>
              </w:tabs>
              <w:spacing w:before="120" w:after="120"/>
              <w:rPr>
                <w:noProof/>
              </w:rPr>
            </w:pPr>
          </w:p>
        </w:tc>
      </w:tr>
      <w:tr w:rsidR="00130397" w:rsidRPr="00961DC9" w14:paraId="7B977C85" w14:textId="77777777" w:rsidTr="00130397">
        <w:tc>
          <w:tcPr>
            <w:tcW w:w="3069" w:type="dxa"/>
            <w:shd w:val="clear" w:color="auto" w:fill="F3F3F3"/>
          </w:tcPr>
          <w:p w14:paraId="3487C9A4" w14:textId="77777777" w:rsidR="00130397" w:rsidRPr="00653279" w:rsidRDefault="00130397" w:rsidP="00130397">
            <w:pPr>
              <w:tabs>
                <w:tab w:val="left" w:pos="660"/>
                <w:tab w:val="right" w:leader="dot" w:pos="9063"/>
              </w:tabs>
              <w:spacing w:before="120" w:after="120"/>
              <w:rPr>
                <w:b/>
                <w:noProof/>
              </w:rPr>
            </w:pPr>
            <w:r w:rsidRPr="00653279">
              <w:rPr>
                <w:b/>
                <w:noProof/>
              </w:rPr>
              <w:t>Title/Name</w:t>
            </w:r>
          </w:p>
        </w:tc>
        <w:tc>
          <w:tcPr>
            <w:tcW w:w="7563" w:type="dxa"/>
            <w:gridSpan w:val="4"/>
            <w:shd w:val="clear" w:color="auto" w:fill="auto"/>
          </w:tcPr>
          <w:p w14:paraId="584F7710" w14:textId="77777777" w:rsidR="00130397" w:rsidRPr="004B5D45" w:rsidRDefault="00130397" w:rsidP="00130397">
            <w:pPr>
              <w:tabs>
                <w:tab w:val="left" w:pos="660"/>
                <w:tab w:val="right" w:leader="dot" w:pos="9063"/>
              </w:tabs>
              <w:spacing w:before="120" w:after="120"/>
              <w:rPr>
                <w:noProof/>
              </w:rPr>
            </w:pPr>
          </w:p>
        </w:tc>
      </w:tr>
      <w:tr w:rsidR="00130397" w:rsidRPr="00961DC9" w14:paraId="5610CDE0" w14:textId="77777777" w:rsidTr="00130397">
        <w:tc>
          <w:tcPr>
            <w:tcW w:w="3069" w:type="dxa"/>
            <w:shd w:val="clear" w:color="auto" w:fill="F3F3F3"/>
          </w:tcPr>
          <w:p w14:paraId="7D91071A" w14:textId="77777777" w:rsidR="00130397" w:rsidRPr="00653279" w:rsidRDefault="00130397" w:rsidP="00130397">
            <w:pPr>
              <w:tabs>
                <w:tab w:val="left" w:pos="660"/>
                <w:tab w:val="right" w:leader="dot" w:pos="9063"/>
              </w:tabs>
              <w:spacing w:before="120" w:after="120"/>
              <w:rPr>
                <w:b/>
                <w:noProof/>
              </w:rPr>
            </w:pPr>
            <w:r>
              <w:rPr>
                <w:b/>
                <w:noProof/>
              </w:rPr>
              <w:t>Case for Change</w:t>
            </w:r>
          </w:p>
        </w:tc>
        <w:tc>
          <w:tcPr>
            <w:tcW w:w="7563" w:type="dxa"/>
            <w:gridSpan w:val="4"/>
            <w:shd w:val="clear" w:color="auto" w:fill="auto"/>
          </w:tcPr>
          <w:p w14:paraId="3FCA7C56" w14:textId="77777777" w:rsidR="00130397" w:rsidRPr="004B5D45" w:rsidRDefault="00130397" w:rsidP="00130397">
            <w:pPr>
              <w:tabs>
                <w:tab w:val="left" w:pos="660"/>
                <w:tab w:val="right" w:leader="dot" w:pos="9063"/>
              </w:tabs>
              <w:spacing w:before="120" w:after="120"/>
              <w:rPr>
                <w:noProof/>
              </w:rPr>
            </w:pPr>
          </w:p>
        </w:tc>
      </w:tr>
      <w:tr w:rsidR="00130397" w:rsidRPr="00961DC9" w14:paraId="2FF0C555" w14:textId="77777777" w:rsidTr="00130397">
        <w:trPr>
          <w:trHeight w:val="1168"/>
        </w:trPr>
        <w:tc>
          <w:tcPr>
            <w:tcW w:w="3069" w:type="dxa"/>
            <w:shd w:val="clear" w:color="auto" w:fill="F3F3F3"/>
          </w:tcPr>
          <w:p w14:paraId="5DB6F406" w14:textId="77777777" w:rsidR="00130397" w:rsidRPr="00653279" w:rsidRDefault="00130397" w:rsidP="00130397">
            <w:pPr>
              <w:tabs>
                <w:tab w:val="left" w:pos="660"/>
                <w:tab w:val="right" w:leader="dot" w:pos="9063"/>
              </w:tabs>
              <w:spacing w:before="120" w:after="120"/>
              <w:rPr>
                <w:b/>
                <w:noProof/>
              </w:rPr>
            </w:pPr>
            <w:r w:rsidRPr="00653279">
              <w:rPr>
                <w:b/>
                <w:noProof/>
              </w:rPr>
              <w:t>Description of Business Need</w:t>
            </w:r>
          </w:p>
        </w:tc>
        <w:tc>
          <w:tcPr>
            <w:tcW w:w="7563" w:type="dxa"/>
            <w:gridSpan w:val="4"/>
            <w:shd w:val="clear" w:color="auto" w:fill="auto"/>
          </w:tcPr>
          <w:p w14:paraId="4EBC685D" w14:textId="77777777" w:rsidR="00130397" w:rsidRDefault="00130397" w:rsidP="00130397">
            <w:pPr>
              <w:tabs>
                <w:tab w:val="left" w:pos="660"/>
                <w:tab w:val="right" w:leader="dot" w:pos="9063"/>
              </w:tabs>
              <w:spacing w:before="120" w:after="120"/>
              <w:rPr>
                <w:noProof/>
              </w:rPr>
            </w:pPr>
          </w:p>
          <w:p w14:paraId="2CFC9DFD" w14:textId="77777777" w:rsidR="00130397" w:rsidRDefault="00130397" w:rsidP="00130397">
            <w:pPr>
              <w:tabs>
                <w:tab w:val="left" w:pos="660"/>
                <w:tab w:val="right" w:leader="dot" w:pos="9063"/>
              </w:tabs>
              <w:spacing w:before="120" w:after="120"/>
              <w:rPr>
                <w:noProof/>
              </w:rPr>
            </w:pPr>
          </w:p>
          <w:p w14:paraId="7245C375" w14:textId="77777777" w:rsidR="00130397" w:rsidRDefault="00130397" w:rsidP="00130397">
            <w:pPr>
              <w:tabs>
                <w:tab w:val="left" w:pos="660"/>
                <w:tab w:val="right" w:leader="dot" w:pos="9063"/>
              </w:tabs>
              <w:spacing w:before="120" w:after="120"/>
              <w:rPr>
                <w:noProof/>
              </w:rPr>
            </w:pPr>
          </w:p>
          <w:p w14:paraId="79684375" w14:textId="77777777" w:rsidR="00130397" w:rsidRPr="004B5D45" w:rsidRDefault="00130397" w:rsidP="00130397">
            <w:pPr>
              <w:tabs>
                <w:tab w:val="left" w:pos="660"/>
                <w:tab w:val="right" w:leader="dot" w:pos="9063"/>
              </w:tabs>
              <w:spacing w:before="120" w:after="120"/>
              <w:rPr>
                <w:noProof/>
              </w:rPr>
            </w:pPr>
          </w:p>
        </w:tc>
      </w:tr>
      <w:tr w:rsidR="00130397" w:rsidRPr="00961DC9" w14:paraId="1102FD76" w14:textId="77777777" w:rsidTr="00130397">
        <w:trPr>
          <w:trHeight w:val="1265"/>
        </w:trPr>
        <w:tc>
          <w:tcPr>
            <w:tcW w:w="3069" w:type="dxa"/>
            <w:shd w:val="clear" w:color="auto" w:fill="F3F3F3"/>
          </w:tcPr>
          <w:p w14:paraId="42CF2206" w14:textId="77777777" w:rsidR="00130397" w:rsidRPr="00653279" w:rsidRDefault="00130397" w:rsidP="00130397">
            <w:pPr>
              <w:tabs>
                <w:tab w:val="left" w:pos="660"/>
                <w:tab w:val="right" w:leader="dot" w:pos="9063"/>
              </w:tabs>
              <w:spacing w:before="120" w:after="120"/>
              <w:rPr>
                <w:b/>
                <w:noProof/>
              </w:rPr>
            </w:pPr>
            <w:r w:rsidRPr="00653279">
              <w:rPr>
                <w:b/>
                <w:noProof/>
              </w:rPr>
              <w:t>Cost/benefit proposition</w:t>
            </w:r>
          </w:p>
        </w:tc>
        <w:tc>
          <w:tcPr>
            <w:tcW w:w="7563" w:type="dxa"/>
            <w:gridSpan w:val="4"/>
            <w:shd w:val="clear" w:color="auto" w:fill="auto"/>
          </w:tcPr>
          <w:p w14:paraId="1F591959" w14:textId="77777777" w:rsidR="00130397" w:rsidRDefault="00130397" w:rsidP="00130397">
            <w:pPr>
              <w:tabs>
                <w:tab w:val="left" w:pos="660"/>
                <w:tab w:val="right" w:leader="dot" w:pos="9063"/>
              </w:tabs>
              <w:spacing w:before="120" w:after="120"/>
              <w:rPr>
                <w:noProof/>
              </w:rPr>
            </w:pPr>
          </w:p>
          <w:p w14:paraId="382E24A7" w14:textId="77777777" w:rsidR="00130397" w:rsidRDefault="00130397" w:rsidP="00130397">
            <w:pPr>
              <w:tabs>
                <w:tab w:val="left" w:pos="660"/>
                <w:tab w:val="right" w:leader="dot" w:pos="9063"/>
              </w:tabs>
              <w:spacing w:before="120" w:after="120"/>
              <w:rPr>
                <w:noProof/>
              </w:rPr>
            </w:pPr>
          </w:p>
          <w:p w14:paraId="5D40F2C8" w14:textId="77777777" w:rsidR="00130397" w:rsidRDefault="00130397" w:rsidP="00130397">
            <w:pPr>
              <w:tabs>
                <w:tab w:val="left" w:pos="660"/>
                <w:tab w:val="right" w:leader="dot" w:pos="9063"/>
              </w:tabs>
              <w:spacing w:before="120" w:after="120"/>
              <w:rPr>
                <w:noProof/>
              </w:rPr>
            </w:pPr>
          </w:p>
          <w:p w14:paraId="1FAED3E0" w14:textId="77777777" w:rsidR="00130397" w:rsidRPr="003D2149" w:rsidRDefault="00130397" w:rsidP="00130397">
            <w:pPr>
              <w:tabs>
                <w:tab w:val="left" w:pos="660"/>
                <w:tab w:val="right" w:leader="dot" w:pos="9063"/>
              </w:tabs>
              <w:spacing w:before="120" w:after="120"/>
              <w:rPr>
                <w:noProof/>
              </w:rPr>
            </w:pPr>
          </w:p>
        </w:tc>
      </w:tr>
      <w:tr w:rsidR="00130397" w:rsidRPr="00961DC9" w14:paraId="604FD0D6" w14:textId="77777777" w:rsidTr="00130397">
        <w:trPr>
          <w:trHeight w:val="699"/>
        </w:trPr>
        <w:tc>
          <w:tcPr>
            <w:tcW w:w="3069" w:type="dxa"/>
            <w:shd w:val="clear" w:color="auto" w:fill="F3F3F3"/>
          </w:tcPr>
          <w:p w14:paraId="3AC25D7A" w14:textId="77777777" w:rsidR="00130397" w:rsidRPr="00653279" w:rsidRDefault="00130397" w:rsidP="00130397">
            <w:pPr>
              <w:tabs>
                <w:tab w:val="left" w:pos="660"/>
                <w:tab w:val="right" w:leader="dot" w:pos="9063"/>
              </w:tabs>
              <w:spacing w:before="120" w:after="120"/>
              <w:rPr>
                <w:b/>
                <w:noProof/>
              </w:rPr>
            </w:pPr>
            <w:r>
              <w:rPr>
                <w:b/>
                <w:noProof/>
              </w:rPr>
              <w:t>Current pathway</w:t>
            </w:r>
          </w:p>
        </w:tc>
        <w:tc>
          <w:tcPr>
            <w:tcW w:w="7563" w:type="dxa"/>
            <w:gridSpan w:val="4"/>
            <w:shd w:val="clear" w:color="auto" w:fill="auto"/>
          </w:tcPr>
          <w:p w14:paraId="4D88E158" w14:textId="77777777" w:rsidR="00130397" w:rsidRDefault="00130397" w:rsidP="00130397">
            <w:pPr>
              <w:tabs>
                <w:tab w:val="left" w:pos="660"/>
                <w:tab w:val="right" w:leader="dot" w:pos="9063"/>
              </w:tabs>
              <w:spacing w:before="120" w:after="120"/>
              <w:rPr>
                <w:noProof/>
              </w:rPr>
            </w:pPr>
          </w:p>
          <w:p w14:paraId="1739C683" w14:textId="77777777" w:rsidR="00130397" w:rsidRDefault="00130397" w:rsidP="00130397">
            <w:pPr>
              <w:tabs>
                <w:tab w:val="left" w:pos="660"/>
                <w:tab w:val="right" w:leader="dot" w:pos="9063"/>
              </w:tabs>
              <w:spacing w:before="120" w:after="120"/>
              <w:rPr>
                <w:noProof/>
              </w:rPr>
            </w:pPr>
          </w:p>
          <w:p w14:paraId="1E814564" w14:textId="77777777" w:rsidR="00130397" w:rsidRPr="003D2149" w:rsidRDefault="00130397" w:rsidP="00130397">
            <w:pPr>
              <w:tabs>
                <w:tab w:val="left" w:pos="660"/>
                <w:tab w:val="right" w:leader="dot" w:pos="9063"/>
              </w:tabs>
              <w:spacing w:before="120" w:after="120"/>
              <w:rPr>
                <w:noProof/>
              </w:rPr>
            </w:pPr>
          </w:p>
        </w:tc>
      </w:tr>
      <w:tr w:rsidR="00130397" w:rsidRPr="00961DC9" w14:paraId="668F1395" w14:textId="77777777" w:rsidTr="00130397">
        <w:trPr>
          <w:trHeight w:val="699"/>
        </w:trPr>
        <w:tc>
          <w:tcPr>
            <w:tcW w:w="3069" w:type="dxa"/>
            <w:shd w:val="clear" w:color="auto" w:fill="F3F3F3"/>
          </w:tcPr>
          <w:p w14:paraId="710B94D4" w14:textId="77777777" w:rsidR="00130397" w:rsidRDefault="00130397" w:rsidP="00130397">
            <w:pPr>
              <w:tabs>
                <w:tab w:val="left" w:pos="660"/>
                <w:tab w:val="right" w:leader="dot" w:pos="9063"/>
              </w:tabs>
              <w:spacing w:before="120" w:after="120"/>
              <w:rPr>
                <w:b/>
                <w:noProof/>
              </w:rPr>
            </w:pPr>
            <w:r>
              <w:rPr>
                <w:b/>
                <w:noProof/>
              </w:rPr>
              <w:t>Proposed pathway</w:t>
            </w:r>
          </w:p>
        </w:tc>
        <w:tc>
          <w:tcPr>
            <w:tcW w:w="7563" w:type="dxa"/>
            <w:gridSpan w:val="4"/>
            <w:shd w:val="clear" w:color="auto" w:fill="auto"/>
          </w:tcPr>
          <w:p w14:paraId="64598937" w14:textId="77777777" w:rsidR="00130397" w:rsidRDefault="00130397" w:rsidP="00130397">
            <w:pPr>
              <w:tabs>
                <w:tab w:val="left" w:pos="660"/>
                <w:tab w:val="right" w:leader="dot" w:pos="9063"/>
              </w:tabs>
              <w:spacing w:before="120" w:after="120"/>
              <w:rPr>
                <w:noProof/>
              </w:rPr>
            </w:pPr>
          </w:p>
          <w:p w14:paraId="59F1FB17" w14:textId="77777777" w:rsidR="00130397" w:rsidRDefault="00130397" w:rsidP="00130397">
            <w:pPr>
              <w:tabs>
                <w:tab w:val="left" w:pos="660"/>
                <w:tab w:val="right" w:leader="dot" w:pos="9063"/>
              </w:tabs>
              <w:spacing w:before="120" w:after="120"/>
              <w:rPr>
                <w:noProof/>
              </w:rPr>
            </w:pPr>
          </w:p>
          <w:p w14:paraId="333A81B7" w14:textId="77777777" w:rsidR="00130397" w:rsidRPr="003D2149" w:rsidRDefault="00130397" w:rsidP="00130397">
            <w:pPr>
              <w:tabs>
                <w:tab w:val="left" w:pos="660"/>
                <w:tab w:val="right" w:leader="dot" w:pos="9063"/>
              </w:tabs>
              <w:spacing w:before="120" w:after="120"/>
              <w:rPr>
                <w:noProof/>
              </w:rPr>
            </w:pPr>
          </w:p>
        </w:tc>
      </w:tr>
      <w:tr w:rsidR="00130397" w:rsidRPr="00961DC9" w14:paraId="45B57727" w14:textId="77777777" w:rsidTr="00130397">
        <w:trPr>
          <w:trHeight w:val="699"/>
        </w:trPr>
        <w:tc>
          <w:tcPr>
            <w:tcW w:w="3069" w:type="dxa"/>
            <w:shd w:val="clear" w:color="auto" w:fill="F3F3F3"/>
          </w:tcPr>
          <w:p w14:paraId="19EF2D9F" w14:textId="77777777" w:rsidR="00130397" w:rsidRPr="00653279" w:rsidRDefault="00130397" w:rsidP="00130397">
            <w:pPr>
              <w:tabs>
                <w:tab w:val="left" w:pos="660"/>
                <w:tab w:val="right" w:leader="dot" w:pos="9063"/>
              </w:tabs>
              <w:spacing w:before="120" w:after="120"/>
              <w:rPr>
                <w:b/>
                <w:noProof/>
              </w:rPr>
            </w:pPr>
            <w:r w:rsidRPr="00653279">
              <w:rPr>
                <w:b/>
                <w:noProof/>
              </w:rPr>
              <w:t>Implementation plan</w:t>
            </w:r>
          </w:p>
        </w:tc>
        <w:tc>
          <w:tcPr>
            <w:tcW w:w="7563" w:type="dxa"/>
            <w:gridSpan w:val="4"/>
            <w:shd w:val="clear" w:color="auto" w:fill="auto"/>
          </w:tcPr>
          <w:p w14:paraId="07B5F539" w14:textId="77777777" w:rsidR="00130397" w:rsidRDefault="00130397" w:rsidP="00130397">
            <w:pPr>
              <w:tabs>
                <w:tab w:val="left" w:pos="660"/>
                <w:tab w:val="right" w:leader="dot" w:pos="9063"/>
              </w:tabs>
              <w:spacing w:before="120" w:after="120"/>
              <w:rPr>
                <w:noProof/>
              </w:rPr>
            </w:pPr>
          </w:p>
          <w:p w14:paraId="6A8D319E" w14:textId="77777777" w:rsidR="00130397" w:rsidRPr="003D2149" w:rsidRDefault="00130397" w:rsidP="00130397">
            <w:pPr>
              <w:tabs>
                <w:tab w:val="left" w:pos="660"/>
                <w:tab w:val="right" w:leader="dot" w:pos="9063"/>
              </w:tabs>
              <w:spacing w:before="120" w:after="120"/>
              <w:rPr>
                <w:noProof/>
              </w:rPr>
            </w:pPr>
          </w:p>
        </w:tc>
      </w:tr>
      <w:tr w:rsidR="00130397" w:rsidRPr="00961DC9" w14:paraId="27B88748" w14:textId="77777777" w:rsidTr="00130397">
        <w:tc>
          <w:tcPr>
            <w:tcW w:w="3069" w:type="dxa"/>
            <w:shd w:val="clear" w:color="auto" w:fill="F3F3F3"/>
          </w:tcPr>
          <w:p w14:paraId="5DA8FD91" w14:textId="77777777" w:rsidR="00130397" w:rsidRPr="00653279" w:rsidRDefault="00130397" w:rsidP="00130397">
            <w:pPr>
              <w:tabs>
                <w:tab w:val="left" w:pos="660"/>
                <w:tab w:val="right" w:leader="dot" w:pos="9063"/>
              </w:tabs>
              <w:spacing w:before="120" w:after="120"/>
              <w:rPr>
                <w:b/>
                <w:noProof/>
              </w:rPr>
            </w:pPr>
            <w:r w:rsidRPr="00653279">
              <w:rPr>
                <w:b/>
                <w:noProof/>
              </w:rPr>
              <w:t>Implementation costs</w:t>
            </w:r>
          </w:p>
        </w:tc>
        <w:tc>
          <w:tcPr>
            <w:tcW w:w="7563" w:type="dxa"/>
            <w:gridSpan w:val="4"/>
            <w:shd w:val="clear" w:color="auto" w:fill="auto"/>
          </w:tcPr>
          <w:p w14:paraId="37147AD1" w14:textId="77777777" w:rsidR="00130397" w:rsidRPr="00F90316" w:rsidRDefault="00130397" w:rsidP="00130397">
            <w:pPr>
              <w:tabs>
                <w:tab w:val="left" w:pos="660"/>
                <w:tab w:val="right" w:leader="dot" w:pos="9063"/>
              </w:tabs>
              <w:spacing w:before="120" w:after="120"/>
              <w:rPr>
                <w:noProof/>
              </w:rPr>
            </w:pPr>
          </w:p>
        </w:tc>
      </w:tr>
      <w:tr w:rsidR="00130397" w:rsidRPr="00961DC9" w14:paraId="3A709A2E" w14:textId="77777777" w:rsidTr="00130397">
        <w:tc>
          <w:tcPr>
            <w:tcW w:w="3069" w:type="dxa"/>
            <w:shd w:val="clear" w:color="auto" w:fill="F3F3F3"/>
          </w:tcPr>
          <w:p w14:paraId="6D2AA973" w14:textId="77777777" w:rsidR="00130397" w:rsidRPr="00653279" w:rsidRDefault="00130397" w:rsidP="00130397">
            <w:pPr>
              <w:tabs>
                <w:tab w:val="left" w:pos="660"/>
                <w:tab w:val="right" w:leader="dot" w:pos="9063"/>
              </w:tabs>
              <w:spacing w:before="120" w:after="120"/>
              <w:rPr>
                <w:b/>
                <w:noProof/>
              </w:rPr>
            </w:pPr>
            <w:r w:rsidRPr="00653279">
              <w:rPr>
                <w:b/>
                <w:noProof/>
              </w:rPr>
              <w:t>Net annualised recurring costs</w:t>
            </w:r>
          </w:p>
        </w:tc>
        <w:tc>
          <w:tcPr>
            <w:tcW w:w="7563" w:type="dxa"/>
            <w:gridSpan w:val="4"/>
            <w:shd w:val="clear" w:color="auto" w:fill="auto"/>
          </w:tcPr>
          <w:p w14:paraId="18B387E2" w14:textId="77777777" w:rsidR="00130397" w:rsidRPr="00F90316" w:rsidRDefault="00130397" w:rsidP="00130397">
            <w:pPr>
              <w:tabs>
                <w:tab w:val="left" w:pos="660"/>
                <w:tab w:val="right" w:leader="dot" w:pos="9063"/>
              </w:tabs>
              <w:spacing w:before="120" w:after="120"/>
              <w:rPr>
                <w:noProof/>
              </w:rPr>
            </w:pPr>
          </w:p>
        </w:tc>
      </w:tr>
      <w:tr w:rsidR="00130397" w:rsidRPr="00961DC9" w14:paraId="0925E402" w14:textId="77777777" w:rsidTr="00130397">
        <w:tc>
          <w:tcPr>
            <w:tcW w:w="3069" w:type="dxa"/>
            <w:shd w:val="clear" w:color="auto" w:fill="F3F3F3"/>
          </w:tcPr>
          <w:p w14:paraId="0CD7AF94" w14:textId="77777777" w:rsidR="00130397" w:rsidRPr="00653279" w:rsidRDefault="00130397" w:rsidP="00130397">
            <w:pPr>
              <w:tabs>
                <w:tab w:val="left" w:pos="660"/>
                <w:tab w:val="right" w:leader="dot" w:pos="9063"/>
              </w:tabs>
              <w:spacing w:before="120" w:after="120"/>
              <w:rPr>
                <w:b/>
                <w:i/>
                <w:noProof/>
                <w:sz w:val="16"/>
                <w:szCs w:val="16"/>
              </w:rPr>
            </w:pPr>
            <w:r w:rsidRPr="00653279">
              <w:rPr>
                <w:b/>
                <w:noProof/>
              </w:rPr>
              <w:t xml:space="preserve">Impact on funded FTE plan </w:t>
            </w:r>
          </w:p>
        </w:tc>
        <w:tc>
          <w:tcPr>
            <w:tcW w:w="7563" w:type="dxa"/>
            <w:gridSpan w:val="4"/>
            <w:shd w:val="clear" w:color="auto" w:fill="auto"/>
          </w:tcPr>
          <w:p w14:paraId="49778493" w14:textId="77777777" w:rsidR="00130397" w:rsidRPr="007D197E" w:rsidRDefault="00130397" w:rsidP="00130397">
            <w:pPr>
              <w:tabs>
                <w:tab w:val="left" w:pos="660"/>
                <w:tab w:val="right" w:leader="dot" w:pos="9063"/>
              </w:tabs>
              <w:spacing w:before="120" w:after="120"/>
              <w:rPr>
                <w:b/>
                <w:noProof/>
              </w:rPr>
            </w:pPr>
          </w:p>
        </w:tc>
      </w:tr>
      <w:tr w:rsidR="00130397" w:rsidRPr="00961DC9" w14:paraId="46568DC2" w14:textId="77777777" w:rsidTr="00130397">
        <w:tc>
          <w:tcPr>
            <w:tcW w:w="3069" w:type="dxa"/>
            <w:shd w:val="clear" w:color="auto" w:fill="F3F3F3"/>
          </w:tcPr>
          <w:p w14:paraId="0DA8C3B9" w14:textId="77777777" w:rsidR="00130397" w:rsidRPr="00653279" w:rsidRDefault="00130397" w:rsidP="00130397">
            <w:pPr>
              <w:tabs>
                <w:tab w:val="left" w:pos="660"/>
                <w:tab w:val="right" w:leader="dot" w:pos="9063"/>
              </w:tabs>
              <w:spacing w:before="120" w:after="120"/>
              <w:rPr>
                <w:b/>
                <w:noProof/>
              </w:rPr>
            </w:pPr>
            <w:r w:rsidRPr="00653279">
              <w:rPr>
                <w:b/>
                <w:noProof/>
              </w:rPr>
              <w:t>Source of funds</w:t>
            </w:r>
          </w:p>
        </w:tc>
        <w:tc>
          <w:tcPr>
            <w:tcW w:w="7563" w:type="dxa"/>
            <w:gridSpan w:val="4"/>
            <w:shd w:val="clear" w:color="auto" w:fill="auto"/>
          </w:tcPr>
          <w:p w14:paraId="1E693D04" w14:textId="77777777" w:rsidR="00130397" w:rsidRPr="00631BEE" w:rsidRDefault="00130397" w:rsidP="00130397">
            <w:pPr>
              <w:tabs>
                <w:tab w:val="left" w:pos="660"/>
                <w:tab w:val="right" w:leader="dot" w:pos="9063"/>
              </w:tabs>
              <w:spacing w:before="120" w:after="120"/>
              <w:rPr>
                <w:noProof/>
              </w:rPr>
            </w:pPr>
          </w:p>
        </w:tc>
      </w:tr>
      <w:tr w:rsidR="00130397" w:rsidRPr="00961DC9" w14:paraId="00862BC7" w14:textId="77777777" w:rsidTr="00130397">
        <w:tc>
          <w:tcPr>
            <w:tcW w:w="3069" w:type="dxa"/>
            <w:shd w:val="clear" w:color="auto" w:fill="F3F3F3"/>
          </w:tcPr>
          <w:p w14:paraId="01891403" w14:textId="77777777" w:rsidR="00130397" w:rsidRPr="00653279" w:rsidRDefault="00130397" w:rsidP="00130397">
            <w:pPr>
              <w:tabs>
                <w:tab w:val="left" w:pos="660"/>
                <w:tab w:val="right" w:leader="dot" w:pos="9063"/>
              </w:tabs>
              <w:spacing w:before="120" w:after="120"/>
              <w:rPr>
                <w:b/>
                <w:noProof/>
              </w:rPr>
            </w:pPr>
            <w:r w:rsidRPr="00653279">
              <w:rPr>
                <w:b/>
                <w:noProof/>
              </w:rPr>
              <w:t>Expected Start Date</w:t>
            </w:r>
          </w:p>
        </w:tc>
        <w:tc>
          <w:tcPr>
            <w:tcW w:w="1921" w:type="dxa"/>
            <w:gridSpan w:val="2"/>
            <w:shd w:val="clear" w:color="auto" w:fill="auto"/>
          </w:tcPr>
          <w:p w14:paraId="02D163FA" w14:textId="77777777" w:rsidR="00130397" w:rsidRPr="00631BEE" w:rsidRDefault="00130397" w:rsidP="00130397">
            <w:pPr>
              <w:tabs>
                <w:tab w:val="left" w:pos="660"/>
                <w:tab w:val="right" w:leader="dot" w:pos="9063"/>
              </w:tabs>
              <w:spacing w:before="120" w:after="120"/>
              <w:rPr>
                <w:noProof/>
              </w:rPr>
            </w:pPr>
          </w:p>
        </w:tc>
        <w:tc>
          <w:tcPr>
            <w:tcW w:w="2188" w:type="dxa"/>
            <w:shd w:val="clear" w:color="auto" w:fill="F3F3F3"/>
          </w:tcPr>
          <w:p w14:paraId="35F519BB" w14:textId="77777777" w:rsidR="00130397" w:rsidRPr="00653279" w:rsidRDefault="00130397" w:rsidP="00130397">
            <w:pPr>
              <w:tabs>
                <w:tab w:val="left" w:pos="660"/>
                <w:tab w:val="right" w:leader="dot" w:pos="9063"/>
              </w:tabs>
              <w:spacing w:before="120" w:after="120"/>
              <w:rPr>
                <w:b/>
                <w:noProof/>
              </w:rPr>
            </w:pPr>
            <w:r w:rsidRPr="00653279">
              <w:rPr>
                <w:b/>
                <w:noProof/>
              </w:rPr>
              <w:t>Expected End Date</w:t>
            </w:r>
          </w:p>
        </w:tc>
        <w:tc>
          <w:tcPr>
            <w:tcW w:w="3454" w:type="dxa"/>
            <w:shd w:val="clear" w:color="auto" w:fill="auto"/>
          </w:tcPr>
          <w:p w14:paraId="16E8EAD8" w14:textId="77777777" w:rsidR="00130397" w:rsidRPr="00631BEE" w:rsidRDefault="00130397" w:rsidP="00130397">
            <w:pPr>
              <w:tabs>
                <w:tab w:val="left" w:pos="660"/>
                <w:tab w:val="right" w:leader="dot" w:pos="9063"/>
              </w:tabs>
              <w:spacing w:before="120" w:after="120"/>
              <w:rPr>
                <w:noProof/>
              </w:rPr>
            </w:pPr>
          </w:p>
        </w:tc>
      </w:tr>
      <w:tr w:rsidR="00130397" w:rsidRPr="00653279" w14:paraId="52D9691D" w14:textId="77777777" w:rsidTr="00130397">
        <w:trPr>
          <w:cantSplit/>
          <w:tblHeader/>
        </w:trPr>
        <w:tc>
          <w:tcPr>
            <w:tcW w:w="10632" w:type="dxa"/>
            <w:gridSpan w:val="5"/>
            <w:shd w:val="clear" w:color="auto" w:fill="F3F3F3"/>
          </w:tcPr>
          <w:p w14:paraId="364A1376" w14:textId="77777777" w:rsidR="00130397" w:rsidRPr="008B19ED" w:rsidRDefault="00130397" w:rsidP="00130397">
            <w:pPr>
              <w:pStyle w:val="Subhead1"/>
              <w:tabs>
                <w:tab w:val="left" w:pos="660"/>
                <w:tab w:val="right" w:leader="dot" w:pos="9063"/>
              </w:tabs>
              <w:rPr>
                <w:b/>
                <w:color w:val="0A3A6E"/>
              </w:rPr>
            </w:pPr>
            <w:r w:rsidRPr="008B19ED">
              <w:rPr>
                <w:b/>
                <w:color w:val="0A3A6E"/>
              </w:rPr>
              <w:t>Risk</w:t>
            </w:r>
          </w:p>
        </w:tc>
      </w:tr>
      <w:tr w:rsidR="00130397" w:rsidRPr="00961DC9" w14:paraId="3A41FAC3" w14:textId="77777777" w:rsidTr="00130397">
        <w:trPr>
          <w:trHeight w:val="986"/>
        </w:trPr>
        <w:tc>
          <w:tcPr>
            <w:tcW w:w="3094" w:type="dxa"/>
            <w:gridSpan w:val="2"/>
            <w:shd w:val="clear" w:color="auto" w:fill="F3F3F3"/>
          </w:tcPr>
          <w:p w14:paraId="79A25B44" w14:textId="77777777" w:rsidR="00130397" w:rsidRPr="00653279" w:rsidRDefault="00130397" w:rsidP="00130397">
            <w:pPr>
              <w:tabs>
                <w:tab w:val="left" w:pos="660"/>
                <w:tab w:val="right" w:leader="dot" w:pos="9063"/>
              </w:tabs>
              <w:spacing w:before="120" w:after="120"/>
              <w:rPr>
                <w:b/>
                <w:noProof/>
              </w:rPr>
            </w:pPr>
            <w:r w:rsidRPr="00653279">
              <w:rPr>
                <w:b/>
                <w:noProof/>
              </w:rPr>
              <w:t>Are there any significant risks?</w:t>
            </w:r>
          </w:p>
        </w:tc>
        <w:tc>
          <w:tcPr>
            <w:tcW w:w="7538" w:type="dxa"/>
            <w:gridSpan w:val="3"/>
            <w:shd w:val="clear" w:color="auto" w:fill="auto"/>
          </w:tcPr>
          <w:p w14:paraId="649448D2" w14:textId="77777777" w:rsidR="00130397" w:rsidRDefault="00130397" w:rsidP="00130397">
            <w:pPr>
              <w:tabs>
                <w:tab w:val="left" w:pos="660"/>
                <w:tab w:val="right" w:leader="dot" w:pos="9063"/>
              </w:tabs>
              <w:spacing w:before="120" w:after="120"/>
              <w:rPr>
                <w:b/>
                <w:noProof/>
              </w:rPr>
            </w:pPr>
            <w:r w:rsidRPr="000521D7">
              <w:rPr>
                <w:b/>
                <w:noProof/>
              </w:rPr>
              <w:t xml:space="preserve">Yes </w:t>
            </w:r>
            <w:r>
              <w:rPr>
                <w:b/>
                <w:noProof/>
              </w:rPr>
              <w:fldChar w:fldCharType="begin">
                <w:ffData>
                  <w:name w:val="Check3"/>
                  <w:enabled/>
                  <w:calcOnExit w:val="0"/>
                  <w:checkBox>
                    <w:sizeAuto/>
                    <w:default w:val="0"/>
                  </w:checkBox>
                </w:ffData>
              </w:fldChar>
            </w:r>
            <w:bookmarkStart w:id="28" w:name="Check3"/>
            <w:r>
              <w:rPr>
                <w:b/>
                <w:noProof/>
              </w:rPr>
              <w:instrText xml:space="preserve"> FORMCHECKBOX </w:instrText>
            </w:r>
            <w:r w:rsidR="00297B41">
              <w:rPr>
                <w:b/>
                <w:noProof/>
              </w:rPr>
            </w:r>
            <w:r w:rsidR="00297B41">
              <w:rPr>
                <w:b/>
                <w:noProof/>
              </w:rPr>
              <w:fldChar w:fldCharType="separate"/>
            </w:r>
            <w:r>
              <w:rPr>
                <w:b/>
                <w:noProof/>
              </w:rPr>
              <w:fldChar w:fldCharType="end"/>
            </w:r>
            <w:bookmarkEnd w:id="28"/>
            <w:r w:rsidRPr="000521D7">
              <w:rPr>
                <w:b/>
                <w:noProof/>
              </w:rPr>
              <w:tab/>
              <w:t xml:space="preserve">No </w:t>
            </w:r>
            <w:r w:rsidRPr="000521D7">
              <w:rPr>
                <w:b/>
                <w:noProof/>
              </w:rPr>
              <w:fldChar w:fldCharType="begin">
                <w:ffData>
                  <w:name w:val="Check4"/>
                  <w:enabled/>
                  <w:calcOnExit w:val="0"/>
                  <w:checkBox>
                    <w:sizeAuto/>
                    <w:default w:val="0"/>
                  </w:checkBox>
                </w:ffData>
              </w:fldChar>
            </w:r>
            <w:r w:rsidRPr="000521D7">
              <w:rPr>
                <w:b/>
                <w:noProof/>
              </w:rPr>
              <w:instrText xml:space="preserve"> FORMCHECKBOX </w:instrText>
            </w:r>
            <w:r w:rsidR="00297B41">
              <w:rPr>
                <w:b/>
                <w:noProof/>
              </w:rPr>
            </w:r>
            <w:r w:rsidR="00297B41">
              <w:rPr>
                <w:b/>
                <w:noProof/>
              </w:rPr>
              <w:fldChar w:fldCharType="separate"/>
            </w:r>
            <w:r w:rsidRPr="000521D7">
              <w:rPr>
                <w:b/>
                <w:noProof/>
              </w:rPr>
              <w:fldChar w:fldCharType="end"/>
            </w:r>
            <w:r>
              <w:rPr>
                <w:b/>
                <w:noProof/>
              </w:rPr>
              <w:t xml:space="preserve">  </w:t>
            </w:r>
          </w:p>
          <w:p w14:paraId="27BA89B7" w14:textId="77777777" w:rsidR="00130397" w:rsidRPr="000521D7" w:rsidRDefault="00130397" w:rsidP="00130397">
            <w:pPr>
              <w:tabs>
                <w:tab w:val="left" w:pos="660"/>
                <w:tab w:val="right" w:leader="dot" w:pos="9063"/>
              </w:tabs>
              <w:spacing w:before="120" w:after="120"/>
              <w:rPr>
                <w:b/>
                <w:noProof/>
              </w:rPr>
            </w:pPr>
            <w:r w:rsidRPr="000521D7">
              <w:rPr>
                <w:b/>
                <w:noProof/>
              </w:rPr>
              <w:t xml:space="preserve">&lt;If yes, please provide details </w:t>
            </w:r>
            <w:r>
              <w:rPr>
                <w:b/>
                <w:noProof/>
              </w:rPr>
              <w:t xml:space="preserve">below </w:t>
            </w:r>
            <w:r w:rsidRPr="000521D7">
              <w:rPr>
                <w:b/>
                <w:noProof/>
              </w:rPr>
              <w:t>of the identified risks.&gt;</w:t>
            </w:r>
          </w:p>
        </w:tc>
      </w:tr>
      <w:tr w:rsidR="00130397" w:rsidRPr="006E41CE" w14:paraId="5044E598" w14:textId="77777777" w:rsidTr="00130397">
        <w:trPr>
          <w:cantSplit/>
          <w:trHeight w:val="1681"/>
        </w:trPr>
        <w:tc>
          <w:tcPr>
            <w:tcW w:w="10632" w:type="dxa"/>
            <w:gridSpan w:val="5"/>
            <w:shd w:val="clear" w:color="auto" w:fill="auto"/>
          </w:tcPr>
          <w:p w14:paraId="103DD70C" w14:textId="77777777" w:rsidR="00130397" w:rsidRDefault="00130397" w:rsidP="00130397">
            <w:pPr>
              <w:tabs>
                <w:tab w:val="left" w:pos="660"/>
                <w:tab w:val="right" w:leader="dot" w:pos="9063"/>
              </w:tabs>
              <w:spacing w:before="120" w:after="120" w:line="240" w:lineRule="auto"/>
              <w:rPr>
                <w:noProof/>
              </w:rPr>
            </w:pPr>
            <w:r>
              <w:rPr>
                <w:noProof/>
              </w:rPr>
              <w:t>Risk of not implementing:</w:t>
            </w:r>
          </w:p>
          <w:p w14:paraId="2F6F906C" w14:textId="77777777" w:rsidR="00130397" w:rsidRDefault="00130397" w:rsidP="00130397">
            <w:pPr>
              <w:pStyle w:val="ListParagraph"/>
              <w:numPr>
                <w:ilvl w:val="0"/>
                <w:numId w:val="37"/>
              </w:numPr>
              <w:tabs>
                <w:tab w:val="left" w:pos="660"/>
                <w:tab w:val="right" w:leader="dot" w:pos="9063"/>
              </w:tabs>
              <w:spacing w:before="120" w:after="120" w:line="240" w:lineRule="auto"/>
              <w:rPr>
                <w:noProof/>
              </w:rPr>
            </w:pPr>
            <w:r>
              <w:rPr>
                <w:noProof/>
              </w:rPr>
              <w:t>…</w:t>
            </w:r>
          </w:p>
          <w:p w14:paraId="66044763" w14:textId="77777777" w:rsidR="00130397" w:rsidRDefault="00130397" w:rsidP="00130397">
            <w:pPr>
              <w:tabs>
                <w:tab w:val="left" w:pos="660"/>
                <w:tab w:val="right" w:leader="dot" w:pos="9063"/>
              </w:tabs>
              <w:spacing w:before="120" w:after="120" w:line="240" w:lineRule="auto"/>
              <w:rPr>
                <w:noProof/>
              </w:rPr>
            </w:pPr>
            <w:r>
              <w:rPr>
                <w:noProof/>
              </w:rPr>
              <w:t>Risk of implementing:</w:t>
            </w:r>
          </w:p>
          <w:p w14:paraId="4D339E18" w14:textId="77777777" w:rsidR="00130397" w:rsidRPr="00E45AB3" w:rsidRDefault="00130397" w:rsidP="00130397">
            <w:pPr>
              <w:pStyle w:val="ListParagraph"/>
              <w:numPr>
                <w:ilvl w:val="0"/>
                <w:numId w:val="37"/>
              </w:numPr>
              <w:tabs>
                <w:tab w:val="left" w:pos="660"/>
                <w:tab w:val="right" w:leader="dot" w:pos="9063"/>
              </w:tabs>
              <w:spacing w:before="120" w:after="120" w:line="240" w:lineRule="auto"/>
              <w:rPr>
                <w:noProof/>
              </w:rPr>
            </w:pPr>
            <w:r>
              <w:rPr>
                <w:noProof/>
              </w:rPr>
              <w:t>…</w:t>
            </w:r>
          </w:p>
        </w:tc>
      </w:tr>
    </w:tbl>
    <w:p w14:paraId="7E28E11D" w14:textId="77777777" w:rsidR="00130397" w:rsidRDefault="00130397" w:rsidP="00130397"/>
    <w:tbl>
      <w:tblPr>
        <w:tblpPr w:leftFromText="180" w:rightFromText="180" w:vertAnchor="text" w:tblpX="-714" w:tblpY="1"/>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1E0" w:firstRow="1" w:lastRow="1" w:firstColumn="1" w:lastColumn="1" w:noHBand="0" w:noVBand="0"/>
      </w:tblPr>
      <w:tblGrid>
        <w:gridCol w:w="3094"/>
        <w:gridCol w:w="2588"/>
        <w:gridCol w:w="4950"/>
      </w:tblGrid>
      <w:tr w:rsidR="00130397" w:rsidRPr="00653279" w14:paraId="2070B1C0" w14:textId="77777777" w:rsidTr="00130397">
        <w:trPr>
          <w:cantSplit/>
          <w:tblHeader/>
        </w:trPr>
        <w:tc>
          <w:tcPr>
            <w:tcW w:w="10632" w:type="dxa"/>
            <w:gridSpan w:val="3"/>
            <w:shd w:val="clear" w:color="auto" w:fill="F3F3F3"/>
          </w:tcPr>
          <w:p w14:paraId="01512121" w14:textId="3126E4D2" w:rsidR="00130397" w:rsidRPr="000521D7" w:rsidRDefault="00130397" w:rsidP="00130397">
            <w:pPr>
              <w:pStyle w:val="Subhead1"/>
              <w:tabs>
                <w:tab w:val="left" w:pos="660"/>
                <w:tab w:val="right" w:leader="dot" w:pos="9063"/>
              </w:tabs>
              <w:rPr>
                <w:b/>
              </w:rPr>
            </w:pPr>
            <w:r w:rsidRPr="00E56B58">
              <w:rPr>
                <w:b/>
                <w:color w:val="0A3A6E"/>
              </w:rPr>
              <w:t xml:space="preserve">Financial analysis </w:t>
            </w:r>
            <w:r w:rsidRPr="00E56B58">
              <w:rPr>
                <w:b/>
                <w:color w:val="0A3A6E"/>
                <w:sz w:val="20"/>
                <w:szCs w:val="20"/>
              </w:rPr>
              <w:t>(include all incremental costs for FTE (</w:t>
            </w:r>
            <w:r w:rsidR="00D87A70" w:rsidRPr="00E56B58">
              <w:rPr>
                <w:b/>
                <w:color w:val="0A3A6E"/>
                <w:sz w:val="20"/>
                <w:szCs w:val="20"/>
              </w:rPr>
              <w:t>e.g.</w:t>
            </w:r>
            <w:r w:rsidRPr="00E56B58">
              <w:rPr>
                <w:b/>
                <w:color w:val="0A3A6E"/>
                <w:sz w:val="20"/>
                <w:szCs w:val="20"/>
              </w:rPr>
              <w:t xml:space="preserve"> laptop etc)</w:t>
            </w:r>
          </w:p>
        </w:tc>
      </w:tr>
      <w:tr w:rsidR="00130397" w:rsidRPr="00961DC9" w14:paraId="076AF04F" w14:textId="77777777" w:rsidTr="00130397">
        <w:trPr>
          <w:trHeight w:val="593"/>
        </w:trPr>
        <w:tc>
          <w:tcPr>
            <w:tcW w:w="3094" w:type="dxa"/>
            <w:shd w:val="clear" w:color="auto" w:fill="F3F3F3"/>
          </w:tcPr>
          <w:p w14:paraId="1E5FE686" w14:textId="77777777" w:rsidR="00130397" w:rsidRPr="00653279" w:rsidRDefault="00130397" w:rsidP="00130397">
            <w:pPr>
              <w:tabs>
                <w:tab w:val="left" w:pos="660"/>
                <w:tab w:val="right" w:leader="dot" w:pos="9063"/>
              </w:tabs>
              <w:spacing w:before="120" w:after="120"/>
              <w:rPr>
                <w:b/>
                <w:noProof/>
              </w:rPr>
            </w:pPr>
            <w:r w:rsidRPr="00653279">
              <w:rPr>
                <w:b/>
                <w:noProof/>
              </w:rPr>
              <w:t>Item</w:t>
            </w:r>
          </w:p>
        </w:tc>
        <w:tc>
          <w:tcPr>
            <w:tcW w:w="2588" w:type="dxa"/>
            <w:tcBorders>
              <w:bottom w:val="single" w:sz="4" w:space="0" w:color="auto"/>
            </w:tcBorders>
            <w:shd w:val="clear" w:color="auto" w:fill="F3F3F3"/>
          </w:tcPr>
          <w:p w14:paraId="601B6481" w14:textId="77777777" w:rsidR="00130397" w:rsidRPr="00653279" w:rsidRDefault="00130397" w:rsidP="00130397">
            <w:pPr>
              <w:tabs>
                <w:tab w:val="left" w:pos="660"/>
                <w:tab w:val="right" w:leader="dot" w:pos="9063"/>
              </w:tabs>
              <w:spacing w:before="120" w:after="120"/>
              <w:jc w:val="center"/>
              <w:rPr>
                <w:b/>
                <w:noProof/>
              </w:rPr>
            </w:pPr>
            <w:r w:rsidRPr="00653279">
              <w:rPr>
                <w:b/>
                <w:noProof/>
              </w:rPr>
              <w:t>Annualised Value</w:t>
            </w:r>
          </w:p>
        </w:tc>
        <w:tc>
          <w:tcPr>
            <w:tcW w:w="4950" w:type="dxa"/>
            <w:tcBorders>
              <w:bottom w:val="single" w:sz="4" w:space="0" w:color="auto"/>
            </w:tcBorders>
            <w:shd w:val="clear" w:color="auto" w:fill="F3F3F3"/>
          </w:tcPr>
          <w:p w14:paraId="15EB8571" w14:textId="77777777" w:rsidR="00130397" w:rsidRPr="00653279" w:rsidRDefault="00130397" w:rsidP="00130397">
            <w:pPr>
              <w:tabs>
                <w:tab w:val="left" w:pos="660"/>
                <w:tab w:val="right" w:leader="dot" w:pos="9063"/>
              </w:tabs>
              <w:spacing w:before="120" w:after="120"/>
              <w:jc w:val="center"/>
              <w:rPr>
                <w:b/>
                <w:noProof/>
              </w:rPr>
            </w:pPr>
            <w:r w:rsidRPr="00653279">
              <w:rPr>
                <w:b/>
                <w:noProof/>
              </w:rPr>
              <w:t>Specify nature of revenue and costs</w:t>
            </w:r>
          </w:p>
        </w:tc>
      </w:tr>
      <w:tr w:rsidR="00130397" w:rsidRPr="00961DC9" w14:paraId="75FC441E" w14:textId="77777777" w:rsidTr="00130397">
        <w:trPr>
          <w:trHeight w:val="709"/>
        </w:trPr>
        <w:tc>
          <w:tcPr>
            <w:tcW w:w="3094" w:type="dxa"/>
            <w:shd w:val="clear" w:color="auto" w:fill="F3F3F3"/>
          </w:tcPr>
          <w:p w14:paraId="2C91B947" w14:textId="77777777" w:rsidR="00130397" w:rsidRPr="00653279" w:rsidRDefault="00130397" w:rsidP="00130397">
            <w:pPr>
              <w:tabs>
                <w:tab w:val="left" w:pos="660"/>
                <w:tab w:val="right" w:leader="dot" w:pos="9063"/>
              </w:tabs>
              <w:spacing w:before="120" w:after="120"/>
              <w:rPr>
                <w:b/>
                <w:noProof/>
              </w:rPr>
            </w:pPr>
            <w:r w:rsidRPr="00653279">
              <w:rPr>
                <w:b/>
                <w:noProof/>
              </w:rPr>
              <w:t>Revenue</w:t>
            </w:r>
          </w:p>
        </w:tc>
        <w:tc>
          <w:tcPr>
            <w:tcW w:w="2588" w:type="dxa"/>
            <w:shd w:val="clear" w:color="auto" w:fill="auto"/>
          </w:tcPr>
          <w:p w14:paraId="6D7DA392" w14:textId="77777777" w:rsidR="00130397" w:rsidRPr="00F90316" w:rsidRDefault="00130397" w:rsidP="00130397">
            <w:pPr>
              <w:tabs>
                <w:tab w:val="left" w:pos="660"/>
                <w:tab w:val="right" w:leader="dot" w:pos="9063"/>
              </w:tabs>
              <w:spacing w:before="120" w:after="120"/>
              <w:rPr>
                <w:noProof/>
              </w:rPr>
            </w:pPr>
            <w:r w:rsidRPr="00F90316">
              <w:rPr>
                <w:noProof/>
              </w:rPr>
              <w:t>$</w:t>
            </w:r>
          </w:p>
        </w:tc>
        <w:tc>
          <w:tcPr>
            <w:tcW w:w="4950" w:type="dxa"/>
            <w:shd w:val="clear" w:color="auto" w:fill="auto"/>
          </w:tcPr>
          <w:p w14:paraId="07F8FC86" w14:textId="77777777" w:rsidR="00130397" w:rsidRPr="00653279" w:rsidRDefault="00130397" w:rsidP="00130397">
            <w:pPr>
              <w:tabs>
                <w:tab w:val="left" w:pos="660"/>
                <w:tab w:val="right" w:leader="dot" w:pos="9063"/>
              </w:tabs>
              <w:spacing w:before="120" w:after="120"/>
              <w:rPr>
                <w:b/>
                <w:noProof/>
              </w:rPr>
            </w:pPr>
            <w:r>
              <w:rPr>
                <w:b/>
                <w:noProof/>
              </w:rPr>
              <w:fldChar w:fldCharType="begin">
                <w:ffData>
                  <w:name w:val="Text1"/>
                  <w:enabled/>
                  <w:calcOnExit w:val="0"/>
                  <w:textInput/>
                </w:ffData>
              </w:fldChar>
            </w:r>
            <w:r>
              <w:rPr>
                <w:b/>
                <w:noProof/>
              </w:rPr>
              <w:instrText xml:space="preserve"> FORMTEXT </w:instrText>
            </w:r>
            <w:r>
              <w:rPr>
                <w:b/>
                <w:noProof/>
              </w:rPr>
            </w:r>
            <w:r>
              <w:rPr>
                <w:b/>
                <w:noProof/>
              </w:rPr>
              <w:fldChar w:fldCharType="separate"/>
            </w:r>
            <w:r>
              <w:rPr>
                <w:b/>
                <w:noProof/>
              </w:rPr>
              <w:t> </w:t>
            </w:r>
            <w:r>
              <w:rPr>
                <w:b/>
                <w:noProof/>
              </w:rPr>
              <w:t> </w:t>
            </w:r>
            <w:r>
              <w:rPr>
                <w:b/>
                <w:noProof/>
              </w:rPr>
              <w:t> </w:t>
            </w:r>
            <w:r>
              <w:rPr>
                <w:b/>
                <w:noProof/>
              </w:rPr>
              <w:t> </w:t>
            </w:r>
            <w:r>
              <w:rPr>
                <w:b/>
                <w:noProof/>
              </w:rPr>
              <w:t> </w:t>
            </w:r>
            <w:r>
              <w:rPr>
                <w:b/>
                <w:noProof/>
              </w:rPr>
              <w:fldChar w:fldCharType="end"/>
            </w:r>
            <w:r>
              <w:rPr>
                <w:b/>
                <w:noProof/>
              </w:rPr>
              <w:t xml:space="preserve"> </w:t>
            </w:r>
            <w:r w:rsidRPr="00653279">
              <w:rPr>
                <w:b/>
                <w:i/>
                <w:noProof/>
              </w:rPr>
              <w:t>(include additional funding if confirmed)</w:t>
            </w:r>
          </w:p>
        </w:tc>
      </w:tr>
      <w:tr w:rsidR="00130397" w:rsidRPr="00961DC9" w14:paraId="47BD1264" w14:textId="77777777" w:rsidTr="00130397">
        <w:trPr>
          <w:trHeight w:val="751"/>
        </w:trPr>
        <w:tc>
          <w:tcPr>
            <w:tcW w:w="3094" w:type="dxa"/>
            <w:shd w:val="clear" w:color="auto" w:fill="F3F3F3"/>
          </w:tcPr>
          <w:p w14:paraId="69CE2FE0" w14:textId="77777777" w:rsidR="00130397" w:rsidRPr="00653279" w:rsidRDefault="00130397" w:rsidP="00130397">
            <w:pPr>
              <w:tabs>
                <w:tab w:val="left" w:pos="660"/>
                <w:tab w:val="right" w:leader="dot" w:pos="9063"/>
              </w:tabs>
              <w:spacing w:before="120" w:after="120"/>
              <w:rPr>
                <w:b/>
                <w:noProof/>
              </w:rPr>
            </w:pPr>
            <w:r w:rsidRPr="00653279">
              <w:rPr>
                <w:b/>
                <w:noProof/>
              </w:rPr>
              <w:t>Salary and wages</w:t>
            </w:r>
          </w:p>
        </w:tc>
        <w:tc>
          <w:tcPr>
            <w:tcW w:w="2588" w:type="dxa"/>
            <w:shd w:val="clear" w:color="auto" w:fill="auto"/>
          </w:tcPr>
          <w:p w14:paraId="260FA3AE" w14:textId="77777777" w:rsidR="00130397" w:rsidRPr="00F90316" w:rsidRDefault="00130397" w:rsidP="00130397">
            <w:pPr>
              <w:tabs>
                <w:tab w:val="left" w:pos="660"/>
                <w:tab w:val="right" w:leader="dot" w:pos="9063"/>
              </w:tabs>
              <w:spacing w:before="120" w:after="120"/>
              <w:rPr>
                <w:noProof/>
              </w:rPr>
            </w:pPr>
            <w:r w:rsidRPr="00F90316">
              <w:rPr>
                <w:noProof/>
              </w:rPr>
              <w:t>$</w:t>
            </w:r>
          </w:p>
        </w:tc>
        <w:tc>
          <w:tcPr>
            <w:tcW w:w="4950" w:type="dxa"/>
            <w:shd w:val="clear" w:color="auto" w:fill="auto"/>
          </w:tcPr>
          <w:p w14:paraId="410714FD" w14:textId="77777777" w:rsidR="00130397" w:rsidRPr="00F90316" w:rsidRDefault="00130397" w:rsidP="00130397">
            <w:pPr>
              <w:tabs>
                <w:tab w:val="left" w:pos="660"/>
                <w:tab w:val="right" w:leader="dot" w:pos="9063"/>
              </w:tabs>
              <w:spacing w:before="120" w:after="120"/>
              <w:rPr>
                <w:noProof/>
              </w:rPr>
            </w:pPr>
            <w:r>
              <w:rPr>
                <w:b/>
                <w:noProof/>
              </w:rPr>
              <w:fldChar w:fldCharType="begin">
                <w:ffData>
                  <w:name w:val="Text1"/>
                  <w:enabled/>
                  <w:calcOnExit w:val="0"/>
                  <w:textInput/>
                </w:ffData>
              </w:fldChar>
            </w:r>
            <w:r>
              <w:rPr>
                <w:b/>
                <w:noProof/>
              </w:rPr>
              <w:instrText xml:space="preserve"> FORMTEXT </w:instrText>
            </w:r>
            <w:r>
              <w:rPr>
                <w:b/>
                <w:noProof/>
              </w:rPr>
            </w:r>
            <w:r>
              <w:rPr>
                <w:b/>
                <w:noProof/>
              </w:rPr>
              <w:fldChar w:fldCharType="separate"/>
            </w:r>
            <w:r>
              <w:rPr>
                <w:b/>
                <w:noProof/>
              </w:rPr>
              <w:t> </w:t>
            </w:r>
            <w:r>
              <w:rPr>
                <w:b/>
                <w:noProof/>
              </w:rPr>
              <w:t> </w:t>
            </w:r>
            <w:r>
              <w:rPr>
                <w:b/>
                <w:noProof/>
              </w:rPr>
              <w:t> </w:t>
            </w:r>
            <w:r>
              <w:rPr>
                <w:b/>
                <w:noProof/>
              </w:rPr>
              <w:t> </w:t>
            </w:r>
            <w:r>
              <w:rPr>
                <w:b/>
                <w:noProof/>
              </w:rPr>
              <w:t> </w:t>
            </w:r>
            <w:r>
              <w:rPr>
                <w:b/>
                <w:noProof/>
              </w:rPr>
              <w:fldChar w:fldCharType="end"/>
            </w:r>
          </w:p>
        </w:tc>
      </w:tr>
      <w:tr w:rsidR="00130397" w:rsidRPr="00961DC9" w14:paraId="44FD58FF" w14:textId="77777777" w:rsidTr="00130397">
        <w:trPr>
          <w:trHeight w:val="751"/>
        </w:trPr>
        <w:tc>
          <w:tcPr>
            <w:tcW w:w="3094" w:type="dxa"/>
            <w:shd w:val="clear" w:color="auto" w:fill="F3F3F3"/>
          </w:tcPr>
          <w:p w14:paraId="3B77500F" w14:textId="77777777" w:rsidR="00130397" w:rsidRPr="00653279" w:rsidRDefault="00130397" w:rsidP="00130397">
            <w:pPr>
              <w:tabs>
                <w:tab w:val="left" w:pos="660"/>
                <w:tab w:val="right" w:leader="dot" w:pos="9063"/>
              </w:tabs>
              <w:spacing w:before="120" w:after="120"/>
              <w:rPr>
                <w:b/>
                <w:noProof/>
              </w:rPr>
            </w:pPr>
            <w:r>
              <w:rPr>
                <w:b/>
                <w:noProof/>
              </w:rPr>
              <w:t>Proposed savings</w:t>
            </w:r>
          </w:p>
        </w:tc>
        <w:tc>
          <w:tcPr>
            <w:tcW w:w="2588" w:type="dxa"/>
            <w:shd w:val="clear" w:color="auto" w:fill="auto"/>
          </w:tcPr>
          <w:p w14:paraId="6B471F18" w14:textId="77777777" w:rsidR="00130397" w:rsidRPr="00F90316" w:rsidRDefault="00130397" w:rsidP="00130397">
            <w:pPr>
              <w:tabs>
                <w:tab w:val="left" w:pos="660"/>
                <w:tab w:val="right" w:leader="dot" w:pos="9063"/>
              </w:tabs>
              <w:spacing w:before="120" w:after="120"/>
              <w:rPr>
                <w:noProof/>
              </w:rPr>
            </w:pPr>
            <w:r>
              <w:rPr>
                <w:noProof/>
              </w:rPr>
              <w:t>$</w:t>
            </w:r>
          </w:p>
        </w:tc>
        <w:tc>
          <w:tcPr>
            <w:tcW w:w="4950" w:type="dxa"/>
            <w:shd w:val="clear" w:color="auto" w:fill="auto"/>
          </w:tcPr>
          <w:p w14:paraId="2280DF25" w14:textId="77777777" w:rsidR="00130397" w:rsidRPr="00F90316" w:rsidRDefault="00130397" w:rsidP="00130397">
            <w:pPr>
              <w:tabs>
                <w:tab w:val="left" w:pos="660"/>
                <w:tab w:val="right" w:leader="dot" w:pos="9063"/>
              </w:tabs>
              <w:spacing w:before="120" w:after="120"/>
              <w:rPr>
                <w:noProof/>
              </w:rPr>
            </w:pPr>
            <w:r>
              <w:rPr>
                <w:b/>
                <w:noProof/>
              </w:rPr>
              <w:fldChar w:fldCharType="begin">
                <w:ffData>
                  <w:name w:val="Text1"/>
                  <w:enabled/>
                  <w:calcOnExit w:val="0"/>
                  <w:textInput/>
                </w:ffData>
              </w:fldChar>
            </w:r>
            <w:r>
              <w:rPr>
                <w:b/>
                <w:noProof/>
              </w:rPr>
              <w:instrText xml:space="preserve"> FORMTEXT </w:instrText>
            </w:r>
            <w:r>
              <w:rPr>
                <w:b/>
                <w:noProof/>
              </w:rPr>
            </w:r>
            <w:r>
              <w:rPr>
                <w:b/>
                <w:noProof/>
              </w:rPr>
              <w:fldChar w:fldCharType="separate"/>
            </w:r>
            <w:r>
              <w:rPr>
                <w:b/>
                <w:noProof/>
              </w:rPr>
              <w:t> </w:t>
            </w:r>
            <w:r>
              <w:rPr>
                <w:b/>
                <w:noProof/>
              </w:rPr>
              <w:t> </w:t>
            </w:r>
            <w:r>
              <w:rPr>
                <w:b/>
                <w:noProof/>
              </w:rPr>
              <w:t> </w:t>
            </w:r>
            <w:r>
              <w:rPr>
                <w:b/>
                <w:noProof/>
              </w:rPr>
              <w:t> </w:t>
            </w:r>
            <w:r>
              <w:rPr>
                <w:b/>
                <w:noProof/>
              </w:rPr>
              <w:t> </w:t>
            </w:r>
            <w:r>
              <w:rPr>
                <w:b/>
                <w:noProof/>
              </w:rPr>
              <w:fldChar w:fldCharType="end"/>
            </w:r>
          </w:p>
        </w:tc>
      </w:tr>
      <w:tr w:rsidR="00130397" w:rsidRPr="00961DC9" w14:paraId="0CFFCA35" w14:textId="77777777" w:rsidTr="00130397">
        <w:trPr>
          <w:trHeight w:val="701"/>
        </w:trPr>
        <w:tc>
          <w:tcPr>
            <w:tcW w:w="3094" w:type="dxa"/>
            <w:shd w:val="clear" w:color="auto" w:fill="F3F3F3"/>
          </w:tcPr>
          <w:p w14:paraId="464BFE36" w14:textId="77777777" w:rsidR="00130397" w:rsidRPr="00653279" w:rsidRDefault="00130397" w:rsidP="00130397">
            <w:pPr>
              <w:tabs>
                <w:tab w:val="left" w:pos="660"/>
                <w:tab w:val="right" w:leader="dot" w:pos="9063"/>
              </w:tabs>
              <w:spacing w:before="120" w:after="120"/>
              <w:rPr>
                <w:b/>
                <w:noProof/>
              </w:rPr>
            </w:pPr>
            <w:r w:rsidRPr="00653279">
              <w:rPr>
                <w:b/>
                <w:noProof/>
              </w:rPr>
              <w:t>Goods and Services</w:t>
            </w:r>
          </w:p>
        </w:tc>
        <w:tc>
          <w:tcPr>
            <w:tcW w:w="2588" w:type="dxa"/>
            <w:shd w:val="clear" w:color="auto" w:fill="auto"/>
          </w:tcPr>
          <w:p w14:paraId="6C6433B5" w14:textId="77777777" w:rsidR="00130397" w:rsidRPr="00F90316" w:rsidRDefault="00130397" w:rsidP="00130397">
            <w:pPr>
              <w:tabs>
                <w:tab w:val="left" w:pos="660"/>
                <w:tab w:val="right" w:leader="dot" w:pos="9063"/>
              </w:tabs>
              <w:spacing w:before="120" w:after="120"/>
              <w:rPr>
                <w:noProof/>
              </w:rPr>
            </w:pPr>
            <w:r w:rsidRPr="00F90316">
              <w:rPr>
                <w:noProof/>
              </w:rPr>
              <w:t>$</w:t>
            </w:r>
          </w:p>
        </w:tc>
        <w:tc>
          <w:tcPr>
            <w:tcW w:w="4950" w:type="dxa"/>
            <w:shd w:val="clear" w:color="auto" w:fill="auto"/>
          </w:tcPr>
          <w:p w14:paraId="5B209BA4" w14:textId="77777777" w:rsidR="00130397" w:rsidRPr="00653279" w:rsidRDefault="00130397" w:rsidP="00130397">
            <w:pPr>
              <w:tabs>
                <w:tab w:val="left" w:pos="660"/>
                <w:tab w:val="right" w:leader="dot" w:pos="9063"/>
              </w:tabs>
              <w:spacing w:before="120" w:after="120"/>
              <w:rPr>
                <w:b/>
                <w:noProof/>
              </w:rPr>
            </w:pPr>
            <w:r>
              <w:rPr>
                <w:b/>
                <w:noProof/>
              </w:rPr>
              <w:fldChar w:fldCharType="begin">
                <w:ffData>
                  <w:name w:val="Text1"/>
                  <w:enabled/>
                  <w:calcOnExit w:val="0"/>
                  <w:textInput/>
                </w:ffData>
              </w:fldChar>
            </w:r>
            <w:r>
              <w:rPr>
                <w:b/>
                <w:noProof/>
              </w:rPr>
              <w:instrText xml:space="preserve"> FORMTEXT </w:instrText>
            </w:r>
            <w:r>
              <w:rPr>
                <w:b/>
                <w:noProof/>
              </w:rPr>
            </w:r>
            <w:r>
              <w:rPr>
                <w:b/>
                <w:noProof/>
              </w:rPr>
              <w:fldChar w:fldCharType="separate"/>
            </w:r>
            <w:r>
              <w:rPr>
                <w:b/>
                <w:noProof/>
              </w:rPr>
              <w:t> </w:t>
            </w:r>
            <w:r>
              <w:rPr>
                <w:b/>
                <w:noProof/>
              </w:rPr>
              <w:t> </w:t>
            </w:r>
            <w:r>
              <w:rPr>
                <w:b/>
                <w:noProof/>
              </w:rPr>
              <w:t> </w:t>
            </w:r>
            <w:r>
              <w:rPr>
                <w:b/>
                <w:noProof/>
              </w:rPr>
              <w:t> </w:t>
            </w:r>
            <w:r>
              <w:rPr>
                <w:b/>
                <w:noProof/>
              </w:rPr>
              <w:t> </w:t>
            </w:r>
            <w:r>
              <w:rPr>
                <w:b/>
                <w:noProof/>
              </w:rPr>
              <w:fldChar w:fldCharType="end"/>
            </w:r>
          </w:p>
        </w:tc>
      </w:tr>
      <w:tr w:rsidR="00130397" w:rsidRPr="00961DC9" w14:paraId="3066FAF3" w14:textId="77777777" w:rsidTr="00130397">
        <w:trPr>
          <w:trHeight w:val="850"/>
        </w:trPr>
        <w:tc>
          <w:tcPr>
            <w:tcW w:w="3094" w:type="dxa"/>
            <w:shd w:val="clear" w:color="auto" w:fill="F3F3F3"/>
          </w:tcPr>
          <w:p w14:paraId="4BFD0EBF" w14:textId="77777777" w:rsidR="00130397" w:rsidRPr="00653279" w:rsidRDefault="00130397" w:rsidP="00130397">
            <w:pPr>
              <w:tabs>
                <w:tab w:val="left" w:pos="660"/>
                <w:tab w:val="right" w:leader="dot" w:pos="9063"/>
              </w:tabs>
              <w:spacing w:before="120" w:after="120"/>
              <w:rPr>
                <w:b/>
                <w:noProof/>
              </w:rPr>
            </w:pPr>
            <w:r w:rsidRPr="00653279">
              <w:rPr>
                <w:b/>
                <w:noProof/>
              </w:rPr>
              <w:t>NET ANNUALISED COST</w:t>
            </w:r>
          </w:p>
        </w:tc>
        <w:tc>
          <w:tcPr>
            <w:tcW w:w="2588" w:type="dxa"/>
            <w:shd w:val="clear" w:color="auto" w:fill="auto"/>
          </w:tcPr>
          <w:p w14:paraId="462B97C4" w14:textId="77777777" w:rsidR="00130397" w:rsidRPr="00F90316" w:rsidRDefault="00130397" w:rsidP="00130397">
            <w:pPr>
              <w:tabs>
                <w:tab w:val="left" w:pos="660"/>
                <w:tab w:val="right" w:leader="dot" w:pos="9063"/>
              </w:tabs>
              <w:spacing w:before="120" w:after="120"/>
              <w:rPr>
                <w:noProof/>
              </w:rPr>
            </w:pPr>
            <w:r w:rsidRPr="00F90316">
              <w:rPr>
                <w:noProof/>
              </w:rPr>
              <w:t>$</w:t>
            </w:r>
          </w:p>
        </w:tc>
        <w:tc>
          <w:tcPr>
            <w:tcW w:w="4950" w:type="dxa"/>
            <w:shd w:val="clear" w:color="auto" w:fill="auto"/>
          </w:tcPr>
          <w:p w14:paraId="116A2701" w14:textId="77777777" w:rsidR="00130397" w:rsidRPr="000521D7" w:rsidRDefault="00130397" w:rsidP="00130397">
            <w:pPr>
              <w:tabs>
                <w:tab w:val="left" w:pos="660"/>
                <w:tab w:val="right" w:leader="dot" w:pos="9063"/>
              </w:tabs>
              <w:spacing w:before="120" w:after="120"/>
              <w:rPr>
                <w:b/>
                <w:noProof/>
              </w:rPr>
            </w:pPr>
            <w:r>
              <w:rPr>
                <w:b/>
                <w:noProof/>
              </w:rPr>
              <w:fldChar w:fldCharType="begin">
                <w:ffData>
                  <w:name w:val="Text1"/>
                  <w:enabled/>
                  <w:calcOnExit w:val="0"/>
                  <w:textInput/>
                </w:ffData>
              </w:fldChar>
            </w:r>
            <w:r>
              <w:rPr>
                <w:b/>
                <w:noProof/>
              </w:rPr>
              <w:instrText xml:space="preserve"> FORMTEXT </w:instrText>
            </w:r>
            <w:r>
              <w:rPr>
                <w:b/>
                <w:noProof/>
              </w:rPr>
            </w:r>
            <w:r>
              <w:rPr>
                <w:b/>
                <w:noProof/>
              </w:rPr>
              <w:fldChar w:fldCharType="separate"/>
            </w:r>
            <w:r>
              <w:rPr>
                <w:b/>
                <w:noProof/>
              </w:rPr>
              <w:t> </w:t>
            </w:r>
            <w:r>
              <w:rPr>
                <w:b/>
                <w:noProof/>
              </w:rPr>
              <w:t> </w:t>
            </w:r>
            <w:r>
              <w:rPr>
                <w:b/>
                <w:noProof/>
              </w:rPr>
              <w:t> </w:t>
            </w:r>
            <w:r>
              <w:rPr>
                <w:b/>
                <w:noProof/>
              </w:rPr>
              <w:t> </w:t>
            </w:r>
            <w:r>
              <w:rPr>
                <w:b/>
                <w:noProof/>
              </w:rPr>
              <w:t> </w:t>
            </w:r>
            <w:r>
              <w:rPr>
                <w:b/>
                <w:noProof/>
              </w:rPr>
              <w:fldChar w:fldCharType="end"/>
            </w:r>
          </w:p>
        </w:tc>
      </w:tr>
      <w:tr w:rsidR="00130397" w:rsidRPr="00961DC9" w14:paraId="5AD59663" w14:textId="77777777" w:rsidTr="00130397">
        <w:trPr>
          <w:trHeight w:val="811"/>
        </w:trPr>
        <w:tc>
          <w:tcPr>
            <w:tcW w:w="3094" w:type="dxa"/>
            <w:shd w:val="clear" w:color="auto" w:fill="F3F3F3"/>
          </w:tcPr>
          <w:p w14:paraId="79B60ED8" w14:textId="77777777" w:rsidR="00130397" w:rsidRPr="00653279" w:rsidRDefault="00130397" w:rsidP="00130397">
            <w:pPr>
              <w:tabs>
                <w:tab w:val="left" w:pos="660"/>
                <w:tab w:val="right" w:leader="dot" w:pos="9063"/>
              </w:tabs>
              <w:spacing w:before="120" w:after="120"/>
              <w:rPr>
                <w:b/>
                <w:noProof/>
              </w:rPr>
            </w:pPr>
            <w:r w:rsidRPr="00653279">
              <w:rPr>
                <w:b/>
                <w:noProof/>
              </w:rPr>
              <w:t>Capital expenditure required</w:t>
            </w:r>
          </w:p>
        </w:tc>
        <w:tc>
          <w:tcPr>
            <w:tcW w:w="2588" w:type="dxa"/>
            <w:shd w:val="clear" w:color="auto" w:fill="auto"/>
          </w:tcPr>
          <w:p w14:paraId="58647B1D" w14:textId="77777777" w:rsidR="00130397" w:rsidRPr="00F90316" w:rsidRDefault="00130397" w:rsidP="00130397">
            <w:pPr>
              <w:tabs>
                <w:tab w:val="left" w:pos="660"/>
                <w:tab w:val="right" w:leader="dot" w:pos="9063"/>
              </w:tabs>
              <w:spacing w:before="120" w:after="120"/>
              <w:rPr>
                <w:noProof/>
              </w:rPr>
            </w:pPr>
            <w:r w:rsidRPr="00F90316">
              <w:rPr>
                <w:noProof/>
              </w:rPr>
              <w:t>$</w:t>
            </w:r>
          </w:p>
        </w:tc>
        <w:tc>
          <w:tcPr>
            <w:tcW w:w="4950" w:type="dxa"/>
            <w:shd w:val="clear" w:color="auto" w:fill="auto"/>
          </w:tcPr>
          <w:p w14:paraId="21D3F11C" w14:textId="77777777" w:rsidR="00130397" w:rsidRPr="000521D7" w:rsidRDefault="00130397" w:rsidP="00130397">
            <w:pPr>
              <w:tabs>
                <w:tab w:val="left" w:pos="660"/>
                <w:tab w:val="right" w:leader="dot" w:pos="9063"/>
              </w:tabs>
              <w:spacing w:before="120" w:after="120"/>
              <w:rPr>
                <w:b/>
                <w:noProof/>
              </w:rPr>
            </w:pPr>
            <w:r>
              <w:rPr>
                <w:b/>
                <w:noProof/>
              </w:rPr>
              <w:fldChar w:fldCharType="begin">
                <w:ffData>
                  <w:name w:val="Text1"/>
                  <w:enabled/>
                  <w:calcOnExit w:val="0"/>
                  <w:textInput/>
                </w:ffData>
              </w:fldChar>
            </w:r>
            <w:r>
              <w:rPr>
                <w:b/>
                <w:noProof/>
              </w:rPr>
              <w:instrText xml:space="preserve"> FORMTEXT </w:instrText>
            </w:r>
            <w:r>
              <w:rPr>
                <w:b/>
                <w:noProof/>
              </w:rPr>
            </w:r>
            <w:r>
              <w:rPr>
                <w:b/>
                <w:noProof/>
              </w:rPr>
              <w:fldChar w:fldCharType="separate"/>
            </w:r>
            <w:r>
              <w:rPr>
                <w:b/>
                <w:noProof/>
              </w:rPr>
              <w:t> </w:t>
            </w:r>
            <w:r>
              <w:rPr>
                <w:b/>
                <w:noProof/>
              </w:rPr>
              <w:t> </w:t>
            </w:r>
            <w:r>
              <w:rPr>
                <w:b/>
                <w:noProof/>
              </w:rPr>
              <w:t> </w:t>
            </w:r>
            <w:r>
              <w:rPr>
                <w:b/>
                <w:noProof/>
              </w:rPr>
              <w:t> </w:t>
            </w:r>
            <w:r>
              <w:rPr>
                <w:b/>
                <w:noProof/>
              </w:rPr>
              <w:t> </w:t>
            </w:r>
            <w:r>
              <w:rPr>
                <w:b/>
                <w:noProof/>
              </w:rPr>
              <w:fldChar w:fldCharType="end"/>
            </w:r>
          </w:p>
        </w:tc>
      </w:tr>
      <w:tr w:rsidR="00130397" w:rsidRPr="00961DC9" w14:paraId="7E1D6D0D" w14:textId="77777777" w:rsidTr="00130397">
        <w:trPr>
          <w:trHeight w:val="678"/>
        </w:trPr>
        <w:tc>
          <w:tcPr>
            <w:tcW w:w="10632" w:type="dxa"/>
            <w:gridSpan w:val="3"/>
            <w:tcBorders>
              <w:bottom w:val="single" w:sz="4" w:space="0" w:color="auto"/>
            </w:tcBorders>
            <w:shd w:val="clear" w:color="auto" w:fill="F3F3F3"/>
          </w:tcPr>
          <w:p w14:paraId="4EF73E4A" w14:textId="77777777" w:rsidR="00130397" w:rsidRPr="00653279" w:rsidRDefault="00130397" w:rsidP="00130397">
            <w:pPr>
              <w:tabs>
                <w:tab w:val="left" w:pos="660"/>
                <w:tab w:val="right" w:leader="dot" w:pos="9063"/>
              </w:tabs>
              <w:spacing w:before="120" w:after="120"/>
              <w:rPr>
                <w:b/>
                <w:noProof/>
              </w:rPr>
            </w:pPr>
            <w:r w:rsidRPr="00653279">
              <w:rPr>
                <w:b/>
                <w:noProof/>
              </w:rPr>
              <w:t>Where a net cost arises, please provide an explanation on funding source below</w:t>
            </w:r>
          </w:p>
        </w:tc>
      </w:tr>
      <w:tr w:rsidR="00130397" w:rsidRPr="00961DC9" w14:paraId="756E8698" w14:textId="77777777" w:rsidTr="00130397">
        <w:trPr>
          <w:trHeight w:val="778"/>
        </w:trPr>
        <w:tc>
          <w:tcPr>
            <w:tcW w:w="10632" w:type="dxa"/>
            <w:gridSpan w:val="3"/>
            <w:shd w:val="clear" w:color="auto" w:fill="auto"/>
          </w:tcPr>
          <w:p w14:paraId="49ED9990" w14:textId="77777777" w:rsidR="00130397" w:rsidRDefault="00130397" w:rsidP="00130397">
            <w:pPr>
              <w:tabs>
                <w:tab w:val="left" w:pos="660"/>
                <w:tab w:val="right" w:leader="dot" w:pos="9063"/>
              </w:tabs>
              <w:spacing w:after="0" w:line="240" w:lineRule="auto"/>
              <w:rPr>
                <w:noProof/>
              </w:rPr>
            </w:pPr>
          </w:p>
          <w:p w14:paraId="3B28FD4F" w14:textId="77777777" w:rsidR="00130397" w:rsidRDefault="00130397" w:rsidP="00130397">
            <w:pPr>
              <w:tabs>
                <w:tab w:val="left" w:pos="660"/>
                <w:tab w:val="right" w:leader="dot" w:pos="9063"/>
              </w:tabs>
              <w:spacing w:after="0" w:line="240" w:lineRule="auto"/>
              <w:rPr>
                <w:noProof/>
              </w:rPr>
            </w:pPr>
          </w:p>
          <w:p w14:paraId="2E8A8AEE" w14:textId="77777777" w:rsidR="00130397" w:rsidRDefault="00130397" w:rsidP="00130397">
            <w:pPr>
              <w:tabs>
                <w:tab w:val="left" w:pos="660"/>
                <w:tab w:val="right" w:leader="dot" w:pos="9063"/>
              </w:tabs>
              <w:spacing w:after="0" w:line="240" w:lineRule="auto"/>
              <w:rPr>
                <w:noProof/>
              </w:rPr>
            </w:pPr>
          </w:p>
          <w:p w14:paraId="14008E07" w14:textId="77777777" w:rsidR="00130397" w:rsidRDefault="00130397" w:rsidP="00130397">
            <w:pPr>
              <w:tabs>
                <w:tab w:val="left" w:pos="660"/>
                <w:tab w:val="right" w:leader="dot" w:pos="9063"/>
              </w:tabs>
              <w:spacing w:after="0" w:line="240" w:lineRule="auto"/>
              <w:rPr>
                <w:noProof/>
              </w:rPr>
            </w:pPr>
          </w:p>
          <w:p w14:paraId="7455538B" w14:textId="77777777" w:rsidR="00130397" w:rsidRDefault="00130397" w:rsidP="00130397">
            <w:pPr>
              <w:tabs>
                <w:tab w:val="left" w:pos="660"/>
                <w:tab w:val="right" w:leader="dot" w:pos="9063"/>
              </w:tabs>
              <w:spacing w:after="0" w:line="240" w:lineRule="auto"/>
              <w:rPr>
                <w:noProof/>
              </w:rPr>
            </w:pPr>
          </w:p>
          <w:p w14:paraId="7C575AE0" w14:textId="43BB7CA5" w:rsidR="00130397" w:rsidRDefault="00130397" w:rsidP="00130397">
            <w:pPr>
              <w:tabs>
                <w:tab w:val="left" w:pos="660"/>
                <w:tab w:val="right" w:leader="dot" w:pos="9063"/>
              </w:tabs>
              <w:spacing w:after="0" w:line="240" w:lineRule="auto"/>
              <w:rPr>
                <w:noProof/>
              </w:rPr>
            </w:pPr>
          </w:p>
          <w:p w14:paraId="3E46327E" w14:textId="77777777" w:rsidR="00130397" w:rsidRDefault="00130397" w:rsidP="00130397">
            <w:pPr>
              <w:tabs>
                <w:tab w:val="left" w:pos="660"/>
                <w:tab w:val="right" w:leader="dot" w:pos="9063"/>
              </w:tabs>
              <w:spacing w:after="0" w:line="240" w:lineRule="auto"/>
              <w:rPr>
                <w:noProof/>
              </w:rPr>
            </w:pPr>
          </w:p>
          <w:p w14:paraId="260BF400" w14:textId="77777777" w:rsidR="00130397" w:rsidRDefault="00130397" w:rsidP="00130397">
            <w:pPr>
              <w:tabs>
                <w:tab w:val="left" w:pos="660"/>
                <w:tab w:val="right" w:leader="dot" w:pos="9063"/>
              </w:tabs>
              <w:spacing w:after="0" w:line="240" w:lineRule="auto"/>
              <w:rPr>
                <w:noProof/>
              </w:rPr>
            </w:pPr>
          </w:p>
          <w:p w14:paraId="339C70E1" w14:textId="77777777" w:rsidR="00130397" w:rsidRDefault="00130397" w:rsidP="00130397">
            <w:pPr>
              <w:tabs>
                <w:tab w:val="left" w:pos="660"/>
                <w:tab w:val="right" w:leader="dot" w:pos="9063"/>
              </w:tabs>
              <w:spacing w:after="0" w:line="240" w:lineRule="auto"/>
              <w:rPr>
                <w:noProof/>
              </w:rPr>
            </w:pPr>
          </w:p>
          <w:p w14:paraId="13A32927" w14:textId="77777777" w:rsidR="00130397" w:rsidRPr="00F90316" w:rsidRDefault="00130397" w:rsidP="00130397">
            <w:pPr>
              <w:tabs>
                <w:tab w:val="left" w:pos="660"/>
                <w:tab w:val="right" w:leader="dot" w:pos="9063"/>
              </w:tabs>
              <w:spacing w:after="0" w:line="240" w:lineRule="auto"/>
              <w:rPr>
                <w:noProof/>
              </w:rPr>
            </w:pPr>
          </w:p>
        </w:tc>
      </w:tr>
    </w:tbl>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tblGrid>
      <w:tr w:rsidR="00130397" w:rsidRPr="00653279" w14:paraId="43B0021B" w14:textId="77777777" w:rsidTr="00130397">
        <w:trPr>
          <w:tblHeader/>
        </w:trPr>
        <w:tc>
          <w:tcPr>
            <w:tcW w:w="10632" w:type="dxa"/>
            <w:shd w:val="clear" w:color="auto" w:fill="F3F3F3"/>
          </w:tcPr>
          <w:p w14:paraId="0D670178" w14:textId="77777777" w:rsidR="00130397" w:rsidRPr="00653279" w:rsidRDefault="00130397" w:rsidP="00130397">
            <w:pPr>
              <w:pStyle w:val="Subhead1"/>
              <w:tabs>
                <w:tab w:val="left" w:pos="660"/>
                <w:tab w:val="right" w:leader="dot" w:pos="9063"/>
              </w:tabs>
              <w:rPr>
                <w:b/>
              </w:rPr>
            </w:pPr>
            <w:r w:rsidRPr="0076667E">
              <w:rPr>
                <w:b/>
                <w:color w:val="0A3A6E"/>
              </w:rPr>
              <w:t>Detailed commentary and alternatives</w:t>
            </w:r>
          </w:p>
        </w:tc>
      </w:tr>
      <w:tr w:rsidR="00130397" w:rsidRPr="00653279" w14:paraId="04D04D8D" w14:textId="77777777" w:rsidTr="00130397">
        <w:trPr>
          <w:tblHeader/>
        </w:trPr>
        <w:tc>
          <w:tcPr>
            <w:tcW w:w="10632" w:type="dxa"/>
            <w:shd w:val="clear" w:color="auto" w:fill="F3F3F3"/>
            <w:vAlign w:val="center"/>
          </w:tcPr>
          <w:p w14:paraId="524D9169" w14:textId="77777777" w:rsidR="00130397" w:rsidRPr="00653279" w:rsidRDefault="00130397" w:rsidP="00130397">
            <w:pPr>
              <w:tabs>
                <w:tab w:val="left" w:pos="660"/>
                <w:tab w:val="right" w:leader="dot" w:pos="9063"/>
              </w:tabs>
              <w:spacing w:before="120" w:after="120"/>
              <w:rPr>
                <w:b/>
                <w:noProof/>
              </w:rPr>
            </w:pPr>
            <w:r w:rsidRPr="00653279">
              <w:rPr>
                <w:b/>
                <w:noProof/>
              </w:rPr>
              <w:t>Include commentary on the initiative and other options considered.</w:t>
            </w:r>
          </w:p>
        </w:tc>
      </w:tr>
      <w:tr w:rsidR="00130397" w:rsidRPr="000521D7" w14:paraId="43AAD4CB" w14:textId="77777777" w:rsidTr="00130397">
        <w:trPr>
          <w:trHeight w:val="1643"/>
          <w:tblHeader/>
        </w:trPr>
        <w:tc>
          <w:tcPr>
            <w:tcW w:w="10632" w:type="dxa"/>
            <w:shd w:val="clear" w:color="auto" w:fill="auto"/>
          </w:tcPr>
          <w:p w14:paraId="26F5EDA7" w14:textId="0632D6C4" w:rsidR="00130397" w:rsidRPr="00BD4992" w:rsidRDefault="00130397" w:rsidP="00130397">
            <w:pPr>
              <w:tabs>
                <w:tab w:val="left" w:pos="3015"/>
              </w:tabs>
              <w:spacing w:after="0" w:line="240" w:lineRule="auto"/>
              <w:rPr>
                <w:noProof/>
              </w:rPr>
            </w:pPr>
          </w:p>
        </w:tc>
      </w:tr>
    </w:tbl>
    <w:p w14:paraId="0BB24146" w14:textId="77777777" w:rsidR="00130397" w:rsidRDefault="00130397" w:rsidP="00130397"/>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tblGrid>
      <w:tr w:rsidR="00130397" w:rsidRPr="00653279" w14:paraId="298627C9" w14:textId="77777777" w:rsidTr="00130397">
        <w:trPr>
          <w:tblHeader/>
        </w:trPr>
        <w:tc>
          <w:tcPr>
            <w:tcW w:w="10632" w:type="dxa"/>
            <w:shd w:val="clear" w:color="auto" w:fill="F3F3F3"/>
          </w:tcPr>
          <w:p w14:paraId="507EBF85" w14:textId="77777777" w:rsidR="00130397" w:rsidRPr="00653279" w:rsidRDefault="00130397" w:rsidP="00130397">
            <w:pPr>
              <w:pStyle w:val="Subhead1"/>
              <w:tabs>
                <w:tab w:val="left" w:pos="660"/>
                <w:tab w:val="right" w:leader="dot" w:pos="9063"/>
              </w:tabs>
              <w:rPr>
                <w:b/>
              </w:rPr>
            </w:pPr>
            <w:r w:rsidRPr="0076667E">
              <w:rPr>
                <w:b/>
                <w:color w:val="0A3A6E"/>
              </w:rPr>
              <w:t>Key performance indicators and evaluation</w:t>
            </w:r>
            <w:r>
              <w:rPr>
                <w:b/>
                <w:color w:val="0A3A6E"/>
              </w:rPr>
              <w:t xml:space="preserve"> measures</w:t>
            </w:r>
          </w:p>
        </w:tc>
      </w:tr>
      <w:tr w:rsidR="00130397" w:rsidRPr="000521D7" w14:paraId="506943AD" w14:textId="77777777" w:rsidTr="00130397">
        <w:trPr>
          <w:trHeight w:val="1643"/>
          <w:tblHeader/>
        </w:trPr>
        <w:tc>
          <w:tcPr>
            <w:tcW w:w="10632" w:type="dxa"/>
            <w:shd w:val="clear" w:color="auto" w:fill="auto"/>
          </w:tcPr>
          <w:p w14:paraId="7381AA25" w14:textId="63205F9B" w:rsidR="00130397" w:rsidRPr="00BD4992" w:rsidRDefault="00130397" w:rsidP="00130397">
            <w:pPr>
              <w:tabs>
                <w:tab w:val="left" w:pos="3015"/>
              </w:tabs>
              <w:spacing w:after="0" w:line="240" w:lineRule="auto"/>
              <w:rPr>
                <w:noProof/>
              </w:rPr>
            </w:pPr>
          </w:p>
        </w:tc>
      </w:tr>
    </w:tbl>
    <w:p w14:paraId="715635F6" w14:textId="77777777" w:rsidR="00130397" w:rsidRPr="0078016A" w:rsidRDefault="00130397" w:rsidP="00130397">
      <w:pPr>
        <w:rPr>
          <w:color w:val="0A3A6E"/>
        </w:rPr>
      </w:pP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tblGrid>
      <w:tr w:rsidR="00130397" w:rsidRPr="0078016A" w14:paraId="0DCAD0CA" w14:textId="77777777" w:rsidTr="00130397">
        <w:trPr>
          <w:tblHeader/>
        </w:trPr>
        <w:tc>
          <w:tcPr>
            <w:tcW w:w="10632" w:type="dxa"/>
            <w:shd w:val="clear" w:color="auto" w:fill="F3F3F3"/>
          </w:tcPr>
          <w:p w14:paraId="136110B6" w14:textId="77777777" w:rsidR="00130397" w:rsidRPr="0078016A" w:rsidRDefault="00130397" w:rsidP="00130397">
            <w:pPr>
              <w:pStyle w:val="Subhead1"/>
              <w:tabs>
                <w:tab w:val="left" w:pos="660"/>
                <w:tab w:val="right" w:leader="dot" w:pos="9063"/>
              </w:tabs>
              <w:spacing w:before="0" w:after="100" w:afterAutospacing="1" w:line="240" w:lineRule="auto"/>
              <w:rPr>
                <w:b/>
                <w:color w:val="0A3A6E"/>
              </w:rPr>
            </w:pPr>
            <w:r w:rsidRPr="0078016A">
              <w:rPr>
                <w:b/>
                <w:color w:val="0A3A6E"/>
              </w:rPr>
              <w:t xml:space="preserve">Existing Approved Budgeted Staff Plan </w:t>
            </w:r>
            <w:r w:rsidRPr="0078016A">
              <w:rPr>
                <w:b/>
                <w:color w:val="0A3A6E"/>
                <w:sz w:val="20"/>
                <w:szCs w:val="20"/>
              </w:rPr>
              <w:t>(show detail as they exist in the current staff plan)</w:t>
            </w:r>
          </w:p>
        </w:tc>
      </w:tr>
      <w:tr w:rsidR="00130397" w:rsidRPr="000521D7" w14:paraId="47FF9806" w14:textId="77777777" w:rsidTr="00130397">
        <w:trPr>
          <w:trHeight w:val="2140"/>
          <w:tblHeader/>
        </w:trPr>
        <w:tc>
          <w:tcPr>
            <w:tcW w:w="10632" w:type="dxa"/>
            <w:shd w:val="clear" w:color="auto" w:fill="auto"/>
          </w:tcPr>
          <w:tbl>
            <w:tblPr>
              <w:tblW w:w="10130" w:type="dxa"/>
              <w:tblInd w:w="40" w:type="dxa"/>
              <w:tblLook w:val="04A0" w:firstRow="1" w:lastRow="0" w:firstColumn="1" w:lastColumn="0" w:noHBand="0" w:noVBand="1"/>
            </w:tblPr>
            <w:tblGrid>
              <w:gridCol w:w="1363"/>
              <w:gridCol w:w="825"/>
              <w:gridCol w:w="825"/>
              <w:gridCol w:w="712"/>
              <w:gridCol w:w="912"/>
              <w:gridCol w:w="1068"/>
              <w:gridCol w:w="1068"/>
              <w:gridCol w:w="711"/>
              <w:gridCol w:w="912"/>
              <w:gridCol w:w="984"/>
              <w:gridCol w:w="750"/>
            </w:tblGrid>
            <w:tr w:rsidR="00130397" w:rsidRPr="00E2117E" w14:paraId="64445681" w14:textId="77777777" w:rsidTr="00130397">
              <w:trPr>
                <w:trHeight w:val="288"/>
              </w:trPr>
              <w:tc>
                <w:tcPr>
                  <w:tcW w:w="1363" w:type="dxa"/>
                  <w:tcBorders>
                    <w:top w:val="nil"/>
                    <w:left w:val="nil"/>
                    <w:bottom w:val="nil"/>
                    <w:right w:val="nil"/>
                  </w:tcBorders>
                  <w:shd w:val="clear" w:color="auto" w:fill="auto"/>
                  <w:noWrap/>
                  <w:vAlign w:val="bottom"/>
                  <w:hideMark/>
                </w:tcPr>
                <w:p w14:paraId="38B8917A" w14:textId="77777777" w:rsidR="00130397" w:rsidRPr="00E2117E" w:rsidRDefault="00130397" w:rsidP="00130397">
                  <w:pPr>
                    <w:spacing w:after="0" w:line="240" w:lineRule="auto"/>
                    <w:rPr>
                      <w:rFonts w:ascii="Times New Roman" w:hAnsi="Times New Roman"/>
                      <w:sz w:val="18"/>
                      <w:lang w:eastAsia="en-AU"/>
                    </w:rPr>
                  </w:pPr>
                  <w:bookmarkStart w:id="29" w:name="_MON_1278310780"/>
                  <w:bookmarkStart w:id="30" w:name="_MON_1278310801"/>
                  <w:bookmarkStart w:id="31" w:name="_MON_1278310810"/>
                  <w:bookmarkStart w:id="32" w:name="_MON_1278310834"/>
                  <w:bookmarkStart w:id="33" w:name="_MON_1278311164"/>
                  <w:bookmarkStart w:id="34" w:name="_MON_1278311373"/>
                  <w:bookmarkStart w:id="35" w:name="_MON_1278311391"/>
                  <w:bookmarkStart w:id="36" w:name="_MON_1278311439"/>
                  <w:bookmarkStart w:id="37" w:name="_MON_1278311452"/>
                  <w:bookmarkStart w:id="38" w:name="_MON_1278311796"/>
                  <w:bookmarkStart w:id="39" w:name="_MON_1278311874"/>
                  <w:bookmarkStart w:id="40" w:name="_MON_1278311887"/>
                  <w:bookmarkStart w:id="41" w:name="_MON_1278311926"/>
                  <w:bookmarkStart w:id="42" w:name="_MON_1278311948"/>
                  <w:bookmarkStart w:id="43" w:name="_MON_1278311972"/>
                  <w:bookmarkStart w:id="44" w:name="_MON_1278312508"/>
                  <w:bookmarkStart w:id="45" w:name="_MON_1344233477"/>
                  <w:bookmarkStart w:id="46" w:name="_MON_1344233553"/>
                  <w:bookmarkStart w:id="47" w:name="_MON_1277129442"/>
                  <w:bookmarkStart w:id="48" w:name="_MON_1277129538"/>
                  <w:bookmarkStart w:id="49" w:name="_MON_1277129550"/>
                  <w:bookmarkStart w:id="50" w:name="_MON_1278310144"/>
                  <w:bookmarkStart w:id="51" w:name="_MON_1278310620"/>
                  <w:bookmarkStart w:id="52" w:name="_MON_1278310637"/>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tc>
              <w:tc>
                <w:tcPr>
                  <w:tcW w:w="82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B1C2B9" w14:textId="77777777" w:rsidR="00130397" w:rsidRPr="00E2117E" w:rsidRDefault="00130397" w:rsidP="00130397">
                  <w:pPr>
                    <w:spacing w:after="0" w:line="240" w:lineRule="auto"/>
                    <w:rPr>
                      <w:rFonts w:ascii="Calibri" w:hAnsi="Calibri"/>
                      <w:b/>
                      <w:bCs/>
                      <w:color w:val="000000"/>
                      <w:sz w:val="18"/>
                      <w:lang w:eastAsia="en-AU"/>
                    </w:rPr>
                  </w:pPr>
                  <w:r w:rsidRPr="00E2117E">
                    <w:rPr>
                      <w:rFonts w:ascii="Calibri" w:hAnsi="Calibri"/>
                      <w:b/>
                      <w:bCs/>
                      <w:color w:val="000000"/>
                      <w:sz w:val="18"/>
                      <w:lang w:eastAsia="en-AU"/>
                    </w:rPr>
                    <w:t>Total FTE:</w:t>
                  </w:r>
                </w:p>
              </w:tc>
              <w:tc>
                <w:tcPr>
                  <w:tcW w:w="825" w:type="dxa"/>
                  <w:tcBorders>
                    <w:top w:val="single" w:sz="4" w:space="0" w:color="auto"/>
                    <w:left w:val="nil"/>
                    <w:bottom w:val="single" w:sz="4" w:space="0" w:color="auto"/>
                    <w:right w:val="single" w:sz="4" w:space="0" w:color="auto"/>
                  </w:tcBorders>
                  <w:shd w:val="clear" w:color="000000" w:fill="F2F2F2"/>
                  <w:noWrap/>
                  <w:vAlign w:val="bottom"/>
                  <w:hideMark/>
                </w:tcPr>
                <w:p w14:paraId="0D87FF0A" w14:textId="77777777" w:rsidR="00130397" w:rsidRPr="00E2117E" w:rsidRDefault="00130397" w:rsidP="00130397">
                  <w:pPr>
                    <w:spacing w:after="0" w:line="240" w:lineRule="auto"/>
                    <w:jc w:val="right"/>
                    <w:rPr>
                      <w:rFonts w:ascii="Calibri" w:hAnsi="Calibri"/>
                      <w:b/>
                      <w:bCs/>
                      <w:color w:val="000000"/>
                      <w:sz w:val="18"/>
                      <w:lang w:eastAsia="en-AU"/>
                    </w:rPr>
                  </w:pPr>
                  <w:r w:rsidRPr="00E2117E">
                    <w:rPr>
                      <w:rFonts w:ascii="Calibri" w:hAnsi="Calibri"/>
                      <w:b/>
                      <w:bCs/>
                      <w:color w:val="000000"/>
                      <w:sz w:val="18"/>
                      <w:lang w:eastAsia="en-AU"/>
                    </w:rPr>
                    <w:t>0</w:t>
                  </w:r>
                </w:p>
              </w:tc>
              <w:tc>
                <w:tcPr>
                  <w:tcW w:w="712" w:type="dxa"/>
                  <w:tcBorders>
                    <w:top w:val="single" w:sz="4" w:space="0" w:color="auto"/>
                    <w:left w:val="nil"/>
                    <w:bottom w:val="single" w:sz="4" w:space="0" w:color="auto"/>
                    <w:right w:val="single" w:sz="4" w:space="0" w:color="auto"/>
                  </w:tcBorders>
                  <w:shd w:val="clear" w:color="000000" w:fill="F2F2F2"/>
                  <w:noWrap/>
                  <w:vAlign w:val="bottom"/>
                  <w:hideMark/>
                </w:tcPr>
                <w:p w14:paraId="354FCF37" w14:textId="77777777" w:rsidR="00130397" w:rsidRPr="00E2117E" w:rsidRDefault="00130397" w:rsidP="00130397">
                  <w:pPr>
                    <w:spacing w:after="0" w:line="240" w:lineRule="auto"/>
                    <w:rPr>
                      <w:rFonts w:ascii="Calibri" w:hAnsi="Calibri"/>
                      <w:b/>
                      <w:bCs/>
                      <w:color w:val="000000"/>
                      <w:sz w:val="18"/>
                      <w:lang w:eastAsia="en-AU"/>
                    </w:rPr>
                  </w:pPr>
                  <w:r w:rsidRPr="00E2117E">
                    <w:rPr>
                      <w:rFonts w:ascii="Calibri" w:hAnsi="Calibri"/>
                      <w:b/>
                      <w:bCs/>
                      <w:color w:val="000000"/>
                      <w:sz w:val="18"/>
                      <w:lang w:eastAsia="en-AU"/>
                    </w:rPr>
                    <w:t xml:space="preserve"> $</w:t>
                  </w:r>
                </w:p>
              </w:tc>
              <w:tc>
                <w:tcPr>
                  <w:tcW w:w="912" w:type="dxa"/>
                  <w:tcBorders>
                    <w:top w:val="single" w:sz="4" w:space="0" w:color="auto"/>
                    <w:left w:val="nil"/>
                    <w:bottom w:val="single" w:sz="4" w:space="0" w:color="auto"/>
                    <w:right w:val="single" w:sz="4" w:space="0" w:color="auto"/>
                  </w:tcBorders>
                  <w:shd w:val="clear" w:color="000000" w:fill="F2F2F2"/>
                  <w:noWrap/>
                  <w:vAlign w:val="bottom"/>
                  <w:hideMark/>
                </w:tcPr>
                <w:p w14:paraId="51CD4DBE" w14:textId="77777777" w:rsidR="00130397" w:rsidRPr="00E2117E" w:rsidRDefault="00130397" w:rsidP="00130397">
                  <w:pPr>
                    <w:spacing w:after="0" w:line="240" w:lineRule="auto"/>
                    <w:rPr>
                      <w:rFonts w:ascii="Calibri" w:hAnsi="Calibri"/>
                      <w:b/>
                      <w:bCs/>
                      <w:color w:val="000000"/>
                      <w:sz w:val="18"/>
                      <w:lang w:eastAsia="en-AU"/>
                    </w:rPr>
                  </w:pPr>
                  <w:r w:rsidRPr="00E2117E">
                    <w:rPr>
                      <w:rFonts w:ascii="Calibri" w:hAnsi="Calibri"/>
                      <w:b/>
                      <w:bCs/>
                      <w:color w:val="000000"/>
                      <w:sz w:val="18"/>
                      <w:lang w:eastAsia="en-AU"/>
                    </w:rPr>
                    <w:t xml:space="preserve"> $</w:t>
                  </w:r>
                </w:p>
              </w:tc>
              <w:tc>
                <w:tcPr>
                  <w:tcW w:w="1068" w:type="dxa"/>
                  <w:tcBorders>
                    <w:top w:val="single" w:sz="4" w:space="0" w:color="auto"/>
                    <w:left w:val="nil"/>
                    <w:bottom w:val="single" w:sz="4" w:space="0" w:color="auto"/>
                    <w:right w:val="single" w:sz="4" w:space="0" w:color="auto"/>
                  </w:tcBorders>
                  <w:shd w:val="clear" w:color="000000" w:fill="F2F2F2"/>
                  <w:noWrap/>
                  <w:vAlign w:val="bottom"/>
                  <w:hideMark/>
                </w:tcPr>
                <w:p w14:paraId="4C2C46EB" w14:textId="77777777" w:rsidR="00130397" w:rsidRPr="00E2117E" w:rsidRDefault="00130397" w:rsidP="00130397">
                  <w:pPr>
                    <w:spacing w:after="0" w:line="240" w:lineRule="auto"/>
                    <w:rPr>
                      <w:rFonts w:ascii="Calibri" w:hAnsi="Calibri"/>
                      <w:b/>
                      <w:bCs/>
                      <w:color w:val="000000"/>
                      <w:sz w:val="18"/>
                      <w:lang w:eastAsia="en-AU"/>
                    </w:rPr>
                  </w:pPr>
                  <w:r w:rsidRPr="00E2117E">
                    <w:rPr>
                      <w:rFonts w:ascii="Calibri" w:hAnsi="Calibri"/>
                      <w:b/>
                      <w:bCs/>
                      <w:color w:val="000000"/>
                      <w:sz w:val="18"/>
                      <w:lang w:eastAsia="en-AU"/>
                    </w:rPr>
                    <w:t xml:space="preserve"> $</w:t>
                  </w:r>
                </w:p>
              </w:tc>
              <w:tc>
                <w:tcPr>
                  <w:tcW w:w="1068" w:type="dxa"/>
                  <w:tcBorders>
                    <w:top w:val="single" w:sz="4" w:space="0" w:color="auto"/>
                    <w:left w:val="nil"/>
                    <w:bottom w:val="single" w:sz="4" w:space="0" w:color="auto"/>
                    <w:right w:val="single" w:sz="4" w:space="0" w:color="auto"/>
                  </w:tcBorders>
                  <w:shd w:val="clear" w:color="000000" w:fill="F2F2F2"/>
                  <w:noWrap/>
                  <w:vAlign w:val="bottom"/>
                  <w:hideMark/>
                </w:tcPr>
                <w:p w14:paraId="59A9777E" w14:textId="77777777" w:rsidR="00130397" w:rsidRPr="00E2117E" w:rsidRDefault="00130397" w:rsidP="00130397">
                  <w:pPr>
                    <w:spacing w:after="0" w:line="240" w:lineRule="auto"/>
                    <w:rPr>
                      <w:rFonts w:ascii="Calibri" w:hAnsi="Calibri"/>
                      <w:b/>
                      <w:bCs/>
                      <w:color w:val="000000"/>
                      <w:sz w:val="18"/>
                      <w:lang w:eastAsia="en-AU"/>
                    </w:rPr>
                  </w:pPr>
                  <w:r w:rsidRPr="00E2117E">
                    <w:rPr>
                      <w:rFonts w:ascii="Calibri" w:hAnsi="Calibri"/>
                      <w:b/>
                      <w:bCs/>
                      <w:color w:val="000000"/>
                      <w:sz w:val="18"/>
                      <w:lang w:eastAsia="en-AU"/>
                    </w:rPr>
                    <w:t xml:space="preserve"> $</w:t>
                  </w:r>
                </w:p>
              </w:tc>
              <w:tc>
                <w:tcPr>
                  <w:tcW w:w="711" w:type="dxa"/>
                  <w:tcBorders>
                    <w:top w:val="single" w:sz="4" w:space="0" w:color="auto"/>
                    <w:left w:val="nil"/>
                    <w:bottom w:val="single" w:sz="4" w:space="0" w:color="auto"/>
                    <w:right w:val="single" w:sz="4" w:space="0" w:color="auto"/>
                  </w:tcBorders>
                  <w:shd w:val="clear" w:color="000000" w:fill="F2F2F2"/>
                  <w:noWrap/>
                  <w:vAlign w:val="bottom"/>
                  <w:hideMark/>
                </w:tcPr>
                <w:p w14:paraId="5559F99C" w14:textId="77777777" w:rsidR="00130397" w:rsidRPr="00E2117E" w:rsidRDefault="00130397" w:rsidP="00130397">
                  <w:pPr>
                    <w:spacing w:after="0" w:line="240" w:lineRule="auto"/>
                    <w:rPr>
                      <w:rFonts w:ascii="Calibri" w:hAnsi="Calibri"/>
                      <w:b/>
                      <w:bCs/>
                      <w:color w:val="000000"/>
                      <w:sz w:val="18"/>
                      <w:lang w:eastAsia="en-AU"/>
                    </w:rPr>
                  </w:pPr>
                  <w:r w:rsidRPr="00E2117E">
                    <w:rPr>
                      <w:rFonts w:ascii="Calibri" w:hAnsi="Calibri"/>
                      <w:b/>
                      <w:bCs/>
                      <w:color w:val="000000"/>
                      <w:sz w:val="18"/>
                      <w:lang w:eastAsia="en-AU"/>
                    </w:rPr>
                    <w:t xml:space="preserve"> $</w:t>
                  </w:r>
                </w:p>
              </w:tc>
              <w:tc>
                <w:tcPr>
                  <w:tcW w:w="912" w:type="dxa"/>
                  <w:tcBorders>
                    <w:top w:val="single" w:sz="4" w:space="0" w:color="auto"/>
                    <w:left w:val="nil"/>
                    <w:bottom w:val="single" w:sz="4" w:space="0" w:color="auto"/>
                    <w:right w:val="single" w:sz="4" w:space="0" w:color="auto"/>
                  </w:tcBorders>
                  <w:shd w:val="clear" w:color="000000" w:fill="F2F2F2"/>
                  <w:noWrap/>
                  <w:vAlign w:val="bottom"/>
                  <w:hideMark/>
                </w:tcPr>
                <w:p w14:paraId="77C9B188" w14:textId="77777777" w:rsidR="00130397" w:rsidRPr="00E2117E" w:rsidRDefault="00130397" w:rsidP="00130397">
                  <w:pPr>
                    <w:spacing w:after="0" w:line="240" w:lineRule="auto"/>
                    <w:rPr>
                      <w:rFonts w:ascii="Calibri" w:hAnsi="Calibri"/>
                      <w:b/>
                      <w:bCs/>
                      <w:color w:val="000000"/>
                      <w:sz w:val="18"/>
                      <w:lang w:eastAsia="en-AU"/>
                    </w:rPr>
                  </w:pPr>
                  <w:r w:rsidRPr="00E2117E">
                    <w:rPr>
                      <w:rFonts w:ascii="Calibri" w:hAnsi="Calibri"/>
                      <w:b/>
                      <w:bCs/>
                      <w:color w:val="000000"/>
                      <w:sz w:val="18"/>
                      <w:lang w:eastAsia="en-AU"/>
                    </w:rPr>
                    <w:t xml:space="preserve"> $</w:t>
                  </w:r>
                </w:p>
              </w:tc>
              <w:tc>
                <w:tcPr>
                  <w:tcW w:w="984" w:type="dxa"/>
                  <w:tcBorders>
                    <w:top w:val="single" w:sz="4" w:space="0" w:color="auto"/>
                    <w:left w:val="nil"/>
                    <w:bottom w:val="single" w:sz="4" w:space="0" w:color="auto"/>
                    <w:right w:val="single" w:sz="4" w:space="0" w:color="auto"/>
                  </w:tcBorders>
                  <w:shd w:val="clear" w:color="000000" w:fill="F2F2F2"/>
                  <w:noWrap/>
                  <w:vAlign w:val="bottom"/>
                  <w:hideMark/>
                </w:tcPr>
                <w:p w14:paraId="0FACA2C6" w14:textId="77777777" w:rsidR="00130397" w:rsidRPr="00E2117E" w:rsidRDefault="00130397" w:rsidP="00130397">
                  <w:pPr>
                    <w:spacing w:after="0" w:line="240" w:lineRule="auto"/>
                    <w:rPr>
                      <w:rFonts w:ascii="Calibri" w:hAnsi="Calibri"/>
                      <w:b/>
                      <w:bCs/>
                      <w:color w:val="000000"/>
                      <w:sz w:val="18"/>
                      <w:lang w:eastAsia="en-AU"/>
                    </w:rPr>
                  </w:pPr>
                  <w:r w:rsidRPr="00E2117E">
                    <w:rPr>
                      <w:rFonts w:ascii="Calibri" w:hAnsi="Calibri"/>
                      <w:b/>
                      <w:bCs/>
                      <w:color w:val="000000"/>
                      <w:sz w:val="18"/>
                      <w:lang w:eastAsia="en-AU"/>
                    </w:rPr>
                    <w:t xml:space="preserve"> $          -   </w:t>
                  </w:r>
                </w:p>
              </w:tc>
              <w:tc>
                <w:tcPr>
                  <w:tcW w:w="750" w:type="dxa"/>
                  <w:tcBorders>
                    <w:top w:val="single" w:sz="4" w:space="0" w:color="auto"/>
                    <w:left w:val="nil"/>
                    <w:bottom w:val="single" w:sz="4" w:space="0" w:color="auto"/>
                    <w:right w:val="single" w:sz="4" w:space="0" w:color="auto"/>
                  </w:tcBorders>
                  <w:shd w:val="clear" w:color="000000" w:fill="F2F2F2"/>
                  <w:noWrap/>
                  <w:vAlign w:val="bottom"/>
                  <w:hideMark/>
                </w:tcPr>
                <w:p w14:paraId="6CED3CDA" w14:textId="77777777" w:rsidR="00130397" w:rsidRPr="00E2117E" w:rsidRDefault="00130397" w:rsidP="00130397">
                  <w:pPr>
                    <w:spacing w:after="0" w:line="240" w:lineRule="auto"/>
                    <w:rPr>
                      <w:rFonts w:ascii="Calibri" w:hAnsi="Calibri"/>
                      <w:b/>
                      <w:bCs/>
                      <w:color w:val="000000"/>
                      <w:sz w:val="18"/>
                      <w:lang w:eastAsia="en-AU"/>
                    </w:rPr>
                  </w:pPr>
                  <w:r w:rsidRPr="00E2117E">
                    <w:rPr>
                      <w:rFonts w:ascii="Calibri" w:hAnsi="Calibri"/>
                      <w:b/>
                      <w:bCs/>
                      <w:color w:val="000000"/>
                      <w:sz w:val="18"/>
                      <w:lang w:eastAsia="en-AU"/>
                    </w:rPr>
                    <w:t xml:space="preserve"> $          -   </w:t>
                  </w:r>
                </w:p>
              </w:tc>
            </w:tr>
            <w:tr w:rsidR="00130397" w:rsidRPr="00E2117E" w14:paraId="1E3144FC" w14:textId="77777777" w:rsidTr="00130397">
              <w:trPr>
                <w:trHeight w:val="864"/>
              </w:trPr>
              <w:tc>
                <w:tcPr>
                  <w:tcW w:w="1363" w:type="dxa"/>
                  <w:tcBorders>
                    <w:top w:val="single" w:sz="4" w:space="0" w:color="auto"/>
                    <w:left w:val="nil"/>
                    <w:bottom w:val="single" w:sz="4" w:space="0" w:color="auto"/>
                    <w:right w:val="single" w:sz="4" w:space="0" w:color="auto"/>
                  </w:tcBorders>
                  <w:shd w:val="clear" w:color="000000" w:fill="BFBFBF"/>
                  <w:vAlign w:val="bottom"/>
                  <w:hideMark/>
                </w:tcPr>
                <w:p w14:paraId="2CB76E81" w14:textId="77777777" w:rsidR="00130397" w:rsidRPr="0078016A" w:rsidRDefault="00130397" w:rsidP="00130397">
                  <w:pPr>
                    <w:spacing w:after="0" w:line="240" w:lineRule="auto"/>
                    <w:rPr>
                      <w:rFonts w:ascii="Calibri" w:hAnsi="Calibri"/>
                      <w:b/>
                      <w:bCs/>
                      <w:color w:val="000000"/>
                      <w:sz w:val="18"/>
                      <w:highlight w:val="lightGray"/>
                      <w:lang w:eastAsia="en-AU"/>
                    </w:rPr>
                  </w:pPr>
                  <w:r w:rsidRPr="0078016A">
                    <w:rPr>
                      <w:rFonts w:ascii="Calibri" w:hAnsi="Calibri"/>
                      <w:b/>
                      <w:bCs/>
                      <w:color w:val="000000"/>
                      <w:sz w:val="18"/>
                      <w:highlight w:val="lightGray"/>
                      <w:lang w:eastAsia="en-AU"/>
                    </w:rPr>
                    <w:t>Position Grade</w:t>
                  </w:r>
                </w:p>
              </w:tc>
              <w:tc>
                <w:tcPr>
                  <w:tcW w:w="825" w:type="dxa"/>
                  <w:tcBorders>
                    <w:top w:val="nil"/>
                    <w:left w:val="nil"/>
                    <w:bottom w:val="single" w:sz="4" w:space="0" w:color="auto"/>
                    <w:right w:val="single" w:sz="4" w:space="0" w:color="auto"/>
                  </w:tcBorders>
                  <w:shd w:val="clear" w:color="000000" w:fill="BFBFBF"/>
                  <w:vAlign w:val="bottom"/>
                  <w:hideMark/>
                </w:tcPr>
                <w:p w14:paraId="141703F6" w14:textId="77777777" w:rsidR="00130397" w:rsidRPr="0078016A" w:rsidRDefault="00130397" w:rsidP="00130397">
                  <w:pPr>
                    <w:spacing w:after="0" w:line="240" w:lineRule="auto"/>
                    <w:rPr>
                      <w:rFonts w:ascii="Calibri" w:hAnsi="Calibri"/>
                      <w:b/>
                      <w:bCs/>
                      <w:color w:val="000000"/>
                      <w:sz w:val="18"/>
                      <w:highlight w:val="lightGray"/>
                      <w:lang w:eastAsia="en-AU"/>
                    </w:rPr>
                  </w:pPr>
                  <w:r w:rsidRPr="0078016A">
                    <w:rPr>
                      <w:rFonts w:ascii="Calibri" w:hAnsi="Calibri"/>
                      <w:b/>
                      <w:bCs/>
                      <w:color w:val="000000"/>
                      <w:sz w:val="18"/>
                      <w:highlight w:val="lightGray"/>
                      <w:lang w:eastAsia="en-AU"/>
                    </w:rPr>
                    <w:t>Position Grade Year</w:t>
                  </w:r>
                </w:p>
              </w:tc>
              <w:tc>
                <w:tcPr>
                  <w:tcW w:w="825" w:type="dxa"/>
                  <w:tcBorders>
                    <w:top w:val="nil"/>
                    <w:left w:val="nil"/>
                    <w:bottom w:val="single" w:sz="4" w:space="0" w:color="auto"/>
                    <w:right w:val="single" w:sz="4" w:space="0" w:color="auto"/>
                  </w:tcBorders>
                  <w:shd w:val="clear" w:color="000000" w:fill="BFBFBF"/>
                  <w:vAlign w:val="bottom"/>
                  <w:hideMark/>
                </w:tcPr>
                <w:p w14:paraId="51FFB794" w14:textId="77777777" w:rsidR="00130397" w:rsidRPr="0078016A" w:rsidRDefault="00130397" w:rsidP="00130397">
                  <w:pPr>
                    <w:spacing w:after="0" w:line="240" w:lineRule="auto"/>
                    <w:rPr>
                      <w:rFonts w:ascii="Calibri" w:hAnsi="Calibri"/>
                      <w:b/>
                      <w:bCs/>
                      <w:color w:val="000000"/>
                      <w:sz w:val="18"/>
                      <w:highlight w:val="lightGray"/>
                      <w:lang w:eastAsia="en-AU"/>
                    </w:rPr>
                  </w:pPr>
                  <w:r w:rsidRPr="0078016A">
                    <w:rPr>
                      <w:rFonts w:ascii="Calibri" w:hAnsi="Calibri"/>
                      <w:b/>
                      <w:bCs/>
                      <w:color w:val="000000"/>
                      <w:sz w:val="18"/>
                      <w:highlight w:val="lightGray"/>
                      <w:lang w:eastAsia="en-AU"/>
                    </w:rPr>
                    <w:t>Total Position FTE</w:t>
                  </w:r>
                </w:p>
              </w:tc>
              <w:tc>
                <w:tcPr>
                  <w:tcW w:w="712" w:type="dxa"/>
                  <w:tcBorders>
                    <w:top w:val="nil"/>
                    <w:left w:val="nil"/>
                    <w:bottom w:val="single" w:sz="4" w:space="0" w:color="auto"/>
                    <w:right w:val="single" w:sz="4" w:space="0" w:color="auto"/>
                  </w:tcBorders>
                  <w:shd w:val="clear" w:color="000000" w:fill="BFBFBF"/>
                  <w:vAlign w:val="bottom"/>
                  <w:hideMark/>
                </w:tcPr>
                <w:p w14:paraId="5A327FFB" w14:textId="77777777" w:rsidR="00130397" w:rsidRPr="0078016A" w:rsidRDefault="00130397" w:rsidP="00130397">
                  <w:pPr>
                    <w:spacing w:after="0" w:line="240" w:lineRule="auto"/>
                    <w:rPr>
                      <w:rFonts w:ascii="Calibri" w:hAnsi="Calibri"/>
                      <w:b/>
                      <w:bCs/>
                      <w:color w:val="000000"/>
                      <w:sz w:val="18"/>
                      <w:highlight w:val="lightGray"/>
                      <w:lang w:eastAsia="en-AU"/>
                    </w:rPr>
                  </w:pPr>
                  <w:r w:rsidRPr="0078016A">
                    <w:rPr>
                      <w:rFonts w:ascii="Calibri" w:hAnsi="Calibri"/>
                      <w:b/>
                      <w:bCs/>
                      <w:color w:val="000000"/>
                      <w:sz w:val="18"/>
                      <w:highlight w:val="lightGray"/>
                      <w:lang w:eastAsia="en-AU"/>
                    </w:rPr>
                    <w:t>Base</w:t>
                  </w:r>
                </w:p>
              </w:tc>
              <w:tc>
                <w:tcPr>
                  <w:tcW w:w="912" w:type="dxa"/>
                  <w:tcBorders>
                    <w:top w:val="nil"/>
                    <w:left w:val="nil"/>
                    <w:bottom w:val="single" w:sz="4" w:space="0" w:color="auto"/>
                    <w:right w:val="single" w:sz="4" w:space="0" w:color="auto"/>
                  </w:tcBorders>
                  <w:shd w:val="clear" w:color="000000" w:fill="BFBFBF"/>
                  <w:vAlign w:val="bottom"/>
                  <w:hideMark/>
                </w:tcPr>
                <w:p w14:paraId="5E64AA81" w14:textId="77777777" w:rsidR="00130397" w:rsidRPr="0078016A" w:rsidRDefault="00130397" w:rsidP="00130397">
                  <w:pPr>
                    <w:spacing w:after="0" w:line="240" w:lineRule="auto"/>
                    <w:rPr>
                      <w:rFonts w:ascii="Calibri" w:hAnsi="Calibri"/>
                      <w:b/>
                      <w:bCs/>
                      <w:color w:val="000000"/>
                      <w:sz w:val="18"/>
                      <w:highlight w:val="lightGray"/>
                      <w:lang w:eastAsia="en-AU"/>
                    </w:rPr>
                  </w:pPr>
                  <w:r w:rsidRPr="0078016A">
                    <w:rPr>
                      <w:rFonts w:ascii="Calibri" w:hAnsi="Calibri"/>
                      <w:b/>
                      <w:bCs/>
                      <w:color w:val="000000"/>
                      <w:sz w:val="18"/>
                      <w:highlight w:val="lightGray"/>
                      <w:lang w:eastAsia="en-AU"/>
                    </w:rPr>
                    <w:t>Total Annual Leave Provision</w:t>
                  </w:r>
                </w:p>
              </w:tc>
              <w:tc>
                <w:tcPr>
                  <w:tcW w:w="1068" w:type="dxa"/>
                  <w:tcBorders>
                    <w:top w:val="nil"/>
                    <w:left w:val="nil"/>
                    <w:bottom w:val="single" w:sz="4" w:space="0" w:color="auto"/>
                    <w:right w:val="single" w:sz="4" w:space="0" w:color="auto"/>
                  </w:tcBorders>
                  <w:shd w:val="clear" w:color="000000" w:fill="BFBFBF"/>
                  <w:vAlign w:val="bottom"/>
                  <w:hideMark/>
                </w:tcPr>
                <w:p w14:paraId="56EE0D66" w14:textId="77777777" w:rsidR="00130397" w:rsidRPr="0078016A" w:rsidRDefault="00130397" w:rsidP="00130397">
                  <w:pPr>
                    <w:spacing w:after="0" w:line="240" w:lineRule="auto"/>
                    <w:rPr>
                      <w:rFonts w:ascii="Calibri" w:hAnsi="Calibri"/>
                      <w:b/>
                      <w:bCs/>
                      <w:color w:val="000000"/>
                      <w:sz w:val="18"/>
                      <w:highlight w:val="lightGray"/>
                      <w:lang w:eastAsia="en-AU"/>
                    </w:rPr>
                  </w:pPr>
                  <w:r w:rsidRPr="0078016A">
                    <w:rPr>
                      <w:rFonts w:ascii="Calibri" w:hAnsi="Calibri"/>
                      <w:b/>
                      <w:bCs/>
                      <w:color w:val="000000"/>
                      <w:sz w:val="18"/>
                      <w:highlight w:val="lightGray"/>
                      <w:lang w:eastAsia="en-AU"/>
                    </w:rPr>
                    <w:t>Allowances [Ex Super]</w:t>
                  </w:r>
                </w:p>
              </w:tc>
              <w:tc>
                <w:tcPr>
                  <w:tcW w:w="1068" w:type="dxa"/>
                  <w:tcBorders>
                    <w:top w:val="nil"/>
                    <w:left w:val="nil"/>
                    <w:bottom w:val="single" w:sz="4" w:space="0" w:color="auto"/>
                    <w:right w:val="single" w:sz="4" w:space="0" w:color="auto"/>
                  </w:tcBorders>
                  <w:shd w:val="clear" w:color="000000" w:fill="BFBFBF"/>
                  <w:vAlign w:val="bottom"/>
                  <w:hideMark/>
                </w:tcPr>
                <w:p w14:paraId="0584E989" w14:textId="77777777" w:rsidR="00130397" w:rsidRPr="0078016A" w:rsidRDefault="00130397" w:rsidP="00130397">
                  <w:pPr>
                    <w:spacing w:after="0" w:line="240" w:lineRule="auto"/>
                    <w:rPr>
                      <w:rFonts w:ascii="Calibri" w:hAnsi="Calibri"/>
                      <w:b/>
                      <w:bCs/>
                      <w:color w:val="000000"/>
                      <w:sz w:val="18"/>
                      <w:highlight w:val="lightGray"/>
                      <w:lang w:eastAsia="en-AU"/>
                    </w:rPr>
                  </w:pPr>
                  <w:r w:rsidRPr="0078016A">
                    <w:rPr>
                      <w:rFonts w:ascii="Calibri" w:hAnsi="Calibri"/>
                      <w:b/>
                      <w:bCs/>
                      <w:color w:val="000000"/>
                      <w:sz w:val="18"/>
                      <w:highlight w:val="lightGray"/>
                      <w:lang w:eastAsia="en-AU"/>
                    </w:rPr>
                    <w:t>Allowances [Inc Super]</w:t>
                  </w:r>
                </w:p>
              </w:tc>
              <w:tc>
                <w:tcPr>
                  <w:tcW w:w="711" w:type="dxa"/>
                  <w:tcBorders>
                    <w:top w:val="nil"/>
                    <w:left w:val="nil"/>
                    <w:bottom w:val="single" w:sz="4" w:space="0" w:color="auto"/>
                    <w:right w:val="single" w:sz="4" w:space="0" w:color="auto"/>
                  </w:tcBorders>
                  <w:shd w:val="clear" w:color="000000" w:fill="BFBFBF"/>
                  <w:vAlign w:val="bottom"/>
                  <w:hideMark/>
                </w:tcPr>
                <w:p w14:paraId="56FFDA53" w14:textId="77777777" w:rsidR="00130397" w:rsidRPr="0078016A" w:rsidRDefault="00130397" w:rsidP="00130397">
                  <w:pPr>
                    <w:spacing w:after="0" w:line="240" w:lineRule="auto"/>
                    <w:rPr>
                      <w:rFonts w:ascii="Calibri" w:hAnsi="Calibri"/>
                      <w:b/>
                      <w:bCs/>
                      <w:color w:val="000000"/>
                      <w:sz w:val="18"/>
                      <w:highlight w:val="lightGray"/>
                      <w:lang w:eastAsia="en-AU"/>
                    </w:rPr>
                  </w:pPr>
                  <w:r w:rsidRPr="0078016A">
                    <w:rPr>
                      <w:rFonts w:ascii="Calibri" w:hAnsi="Calibri"/>
                      <w:b/>
                      <w:bCs/>
                      <w:color w:val="000000"/>
                      <w:sz w:val="18"/>
                      <w:highlight w:val="lightGray"/>
                      <w:lang w:eastAsia="en-AU"/>
                    </w:rPr>
                    <w:t>Base Sick Leave</w:t>
                  </w:r>
                </w:p>
              </w:tc>
              <w:tc>
                <w:tcPr>
                  <w:tcW w:w="912" w:type="dxa"/>
                  <w:tcBorders>
                    <w:top w:val="nil"/>
                    <w:left w:val="nil"/>
                    <w:bottom w:val="single" w:sz="4" w:space="0" w:color="auto"/>
                    <w:right w:val="single" w:sz="4" w:space="0" w:color="auto"/>
                  </w:tcBorders>
                  <w:shd w:val="clear" w:color="000000" w:fill="BFBFBF"/>
                  <w:vAlign w:val="bottom"/>
                  <w:hideMark/>
                </w:tcPr>
                <w:p w14:paraId="30678CC7" w14:textId="77777777" w:rsidR="00130397" w:rsidRPr="0078016A" w:rsidRDefault="00130397" w:rsidP="00130397">
                  <w:pPr>
                    <w:spacing w:after="0" w:line="240" w:lineRule="auto"/>
                    <w:rPr>
                      <w:rFonts w:ascii="Calibri" w:hAnsi="Calibri"/>
                      <w:b/>
                      <w:bCs/>
                      <w:color w:val="000000"/>
                      <w:sz w:val="18"/>
                      <w:highlight w:val="lightGray"/>
                      <w:lang w:eastAsia="en-AU"/>
                    </w:rPr>
                  </w:pPr>
                  <w:r w:rsidRPr="0078016A">
                    <w:rPr>
                      <w:rFonts w:ascii="Calibri" w:hAnsi="Calibri"/>
                      <w:b/>
                      <w:bCs/>
                      <w:color w:val="000000"/>
                      <w:sz w:val="18"/>
                      <w:highlight w:val="lightGray"/>
                      <w:lang w:eastAsia="en-AU"/>
                    </w:rPr>
                    <w:t>Base Long Service Leave Provision</w:t>
                  </w:r>
                </w:p>
              </w:tc>
              <w:tc>
                <w:tcPr>
                  <w:tcW w:w="984" w:type="dxa"/>
                  <w:tcBorders>
                    <w:top w:val="nil"/>
                    <w:left w:val="nil"/>
                    <w:bottom w:val="single" w:sz="4" w:space="0" w:color="auto"/>
                    <w:right w:val="single" w:sz="4" w:space="0" w:color="auto"/>
                  </w:tcBorders>
                  <w:shd w:val="clear" w:color="000000" w:fill="BFBFBF"/>
                  <w:vAlign w:val="bottom"/>
                  <w:hideMark/>
                </w:tcPr>
                <w:p w14:paraId="0F9073FB" w14:textId="77777777" w:rsidR="00130397" w:rsidRPr="0078016A" w:rsidRDefault="00130397" w:rsidP="00130397">
                  <w:pPr>
                    <w:spacing w:after="0" w:line="240" w:lineRule="auto"/>
                    <w:rPr>
                      <w:rFonts w:ascii="Calibri" w:hAnsi="Calibri"/>
                      <w:b/>
                      <w:bCs/>
                      <w:color w:val="000000"/>
                      <w:sz w:val="18"/>
                      <w:highlight w:val="lightGray"/>
                      <w:lang w:eastAsia="en-AU"/>
                    </w:rPr>
                  </w:pPr>
                  <w:r w:rsidRPr="0078016A">
                    <w:rPr>
                      <w:rFonts w:ascii="Calibri" w:hAnsi="Calibri"/>
                      <w:b/>
                      <w:bCs/>
                      <w:color w:val="000000"/>
                      <w:sz w:val="18"/>
                      <w:highlight w:val="lightGray"/>
                      <w:lang w:eastAsia="en-AU"/>
                    </w:rPr>
                    <w:t>Super- annuation</w:t>
                  </w:r>
                </w:p>
              </w:tc>
              <w:tc>
                <w:tcPr>
                  <w:tcW w:w="750" w:type="dxa"/>
                  <w:tcBorders>
                    <w:top w:val="nil"/>
                    <w:left w:val="nil"/>
                    <w:bottom w:val="single" w:sz="4" w:space="0" w:color="auto"/>
                    <w:right w:val="single" w:sz="4" w:space="0" w:color="auto"/>
                  </w:tcBorders>
                  <w:shd w:val="clear" w:color="000000" w:fill="BFBFBF"/>
                  <w:vAlign w:val="bottom"/>
                  <w:hideMark/>
                </w:tcPr>
                <w:p w14:paraId="33BE14D0" w14:textId="77777777" w:rsidR="00130397" w:rsidRPr="0078016A" w:rsidRDefault="00130397" w:rsidP="00130397">
                  <w:pPr>
                    <w:spacing w:after="0" w:line="240" w:lineRule="auto"/>
                    <w:rPr>
                      <w:rFonts w:ascii="Calibri" w:hAnsi="Calibri"/>
                      <w:b/>
                      <w:bCs/>
                      <w:color w:val="000000"/>
                      <w:sz w:val="18"/>
                      <w:highlight w:val="lightGray"/>
                      <w:lang w:eastAsia="en-AU"/>
                    </w:rPr>
                  </w:pPr>
                  <w:r w:rsidRPr="0078016A">
                    <w:rPr>
                      <w:rFonts w:ascii="Calibri" w:hAnsi="Calibri"/>
                      <w:b/>
                      <w:bCs/>
                      <w:color w:val="000000"/>
                      <w:sz w:val="18"/>
                      <w:highlight w:val="lightGray"/>
                      <w:lang w:eastAsia="en-AU"/>
                    </w:rPr>
                    <w:t>Total</w:t>
                  </w:r>
                </w:p>
              </w:tc>
            </w:tr>
            <w:tr w:rsidR="00130397" w:rsidRPr="00E2117E" w14:paraId="3B170B18" w14:textId="77777777" w:rsidTr="00130397">
              <w:trPr>
                <w:trHeight w:val="288"/>
              </w:trPr>
              <w:tc>
                <w:tcPr>
                  <w:tcW w:w="1363" w:type="dxa"/>
                  <w:tcBorders>
                    <w:top w:val="nil"/>
                    <w:left w:val="nil"/>
                    <w:bottom w:val="single" w:sz="4" w:space="0" w:color="auto"/>
                    <w:right w:val="single" w:sz="4" w:space="0" w:color="auto"/>
                  </w:tcBorders>
                  <w:shd w:val="clear" w:color="auto" w:fill="auto"/>
                  <w:noWrap/>
                  <w:vAlign w:val="bottom"/>
                  <w:hideMark/>
                </w:tcPr>
                <w:p w14:paraId="63302DB8" w14:textId="77777777" w:rsidR="00130397" w:rsidRPr="00E2117E" w:rsidRDefault="00130397" w:rsidP="00130397">
                  <w:pPr>
                    <w:spacing w:after="0" w:line="240" w:lineRule="auto"/>
                    <w:rPr>
                      <w:rFonts w:ascii="Calibri" w:hAnsi="Calibri"/>
                      <w:color w:val="000000"/>
                      <w:sz w:val="18"/>
                      <w:lang w:eastAsia="en-AU"/>
                    </w:rPr>
                  </w:pPr>
                </w:p>
              </w:tc>
              <w:tc>
                <w:tcPr>
                  <w:tcW w:w="825" w:type="dxa"/>
                  <w:tcBorders>
                    <w:top w:val="nil"/>
                    <w:left w:val="nil"/>
                    <w:bottom w:val="single" w:sz="4" w:space="0" w:color="auto"/>
                    <w:right w:val="single" w:sz="4" w:space="0" w:color="auto"/>
                  </w:tcBorders>
                  <w:shd w:val="clear" w:color="auto" w:fill="auto"/>
                  <w:noWrap/>
                  <w:vAlign w:val="bottom"/>
                  <w:hideMark/>
                </w:tcPr>
                <w:p w14:paraId="4A56D232" w14:textId="77777777" w:rsidR="00130397" w:rsidRPr="00E2117E" w:rsidRDefault="00130397" w:rsidP="00130397">
                  <w:pPr>
                    <w:spacing w:after="0" w:line="240" w:lineRule="auto"/>
                    <w:rPr>
                      <w:rFonts w:ascii="Calibri" w:hAnsi="Calibri"/>
                      <w:color w:val="000000"/>
                      <w:sz w:val="18"/>
                      <w:lang w:eastAsia="en-AU"/>
                    </w:rPr>
                  </w:pPr>
                </w:p>
              </w:tc>
              <w:tc>
                <w:tcPr>
                  <w:tcW w:w="825" w:type="dxa"/>
                  <w:tcBorders>
                    <w:top w:val="nil"/>
                    <w:left w:val="nil"/>
                    <w:bottom w:val="single" w:sz="4" w:space="0" w:color="auto"/>
                    <w:right w:val="single" w:sz="4" w:space="0" w:color="auto"/>
                  </w:tcBorders>
                  <w:shd w:val="clear" w:color="auto" w:fill="auto"/>
                  <w:noWrap/>
                  <w:vAlign w:val="bottom"/>
                  <w:hideMark/>
                </w:tcPr>
                <w:p w14:paraId="7FCAA6A5" w14:textId="77777777" w:rsidR="00130397" w:rsidRPr="00E2117E" w:rsidRDefault="00130397" w:rsidP="00130397">
                  <w:pPr>
                    <w:spacing w:after="0" w:line="240" w:lineRule="auto"/>
                    <w:rPr>
                      <w:rFonts w:ascii="Calibri" w:hAnsi="Calibri"/>
                      <w:color w:val="000000"/>
                      <w:sz w:val="18"/>
                      <w:lang w:eastAsia="en-AU"/>
                    </w:rPr>
                  </w:pPr>
                </w:p>
              </w:tc>
              <w:tc>
                <w:tcPr>
                  <w:tcW w:w="712" w:type="dxa"/>
                  <w:tcBorders>
                    <w:top w:val="nil"/>
                    <w:left w:val="nil"/>
                    <w:bottom w:val="single" w:sz="4" w:space="0" w:color="auto"/>
                    <w:right w:val="single" w:sz="4" w:space="0" w:color="auto"/>
                  </w:tcBorders>
                  <w:shd w:val="clear" w:color="auto" w:fill="auto"/>
                  <w:noWrap/>
                  <w:vAlign w:val="bottom"/>
                </w:tcPr>
                <w:p w14:paraId="1C680A05" w14:textId="77777777" w:rsidR="00130397" w:rsidRPr="00E2117E" w:rsidRDefault="00130397" w:rsidP="00130397">
                  <w:pPr>
                    <w:spacing w:after="0" w:line="240" w:lineRule="auto"/>
                    <w:rPr>
                      <w:rFonts w:ascii="Calibri" w:hAnsi="Calibri"/>
                      <w:color w:val="000000"/>
                      <w:sz w:val="18"/>
                      <w:lang w:eastAsia="en-AU"/>
                    </w:rPr>
                  </w:pPr>
                </w:p>
              </w:tc>
              <w:tc>
                <w:tcPr>
                  <w:tcW w:w="912" w:type="dxa"/>
                  <w:tcBorders>
                    <w:top w:val="nil"/>
                    <w:left w:val="nil"/>
                    <w:bottom w:val="single" w:sz="4" w:space="0" w:color="auto"/>
                    <w:right w:val="single" w:sz="4" w:space="0" w:color="auto"/>
                  </w:tcBorders>
                  <w:shd w:val="clear" w:color="auto" w:fill="auto"/>
                  <w:noWrap/>
                  <w:vAlign w:val="bottom"/>
                </w:tcPr>
                <w:p w14:paraId="5E5521E1" w14:textId="77777777" w:rsidR="00130397" w:rsidRPr="00E2117E" w:rsidRDefault="00130397" w:rsidP="00130397">
                  <w:pPr>
                    <w:spacing w:after="0" w:line="240" w:lineRule="auto"/>
                    <w:rPr>
                      <w:rFonts w:ascii="Calibri" w:hAnsi="Calibri"/>
                      <w:color w:val="000000"/>
                      <w:sz w:val="18"/>
                      <w:lang w:eastAsia="en-AU"/>
                    </w:rPr>
                  </w:pPr>
                </w:p>
              </w:tc>
              <w:tc>
                <w:tcPr>
                  <w:tcW w:w="1068" w:type="dxa"/>
                  <w:tcBorders>
                    <w:top w:val="nil"/>
                    <w:left w:val="nil"/>
                    <w:bottom w:val="single" w:sz="4" w:space="0" w:color="auto"/>
                    <w:right w:val="single" w:sz="4" w:space="0" w:color="auto"/>
                  </w:tcBorders>
                  <w:shd w:val="clear" w:color="auto" w:fill="auto"/>
                  <w:noWrap/>
                  <w:vAlign w:val="bottom"/>
                </w:tcPr>
                <w:p w14:paraId="03019A32" w14:textId="77777777" w:rsidR="00130397" w:rsidRPr="00E2117E" w:rsidRDefault="00130397" w:rsidP="00130397">
                  <w:pPr>
                    <w:spacing w:after="0" w:line="240" w:lineRule="auto"/>
                    <w:rPr>
                      <w:rFonts w:ascii="Calibri" w:hAnsi="Calibri"/>
                      <w:color w:val="000000"/>
                      <w:sz w:val="18"/>
                      <w:lang w:eastAsia="en-AU"/>
                    </w:rPr>
                  </w:pPr>
                </w:p>
              </w:tc>
              <w:tc>
                <w:tcPr>
                  <w:tcW w:w="1068" w:type="dxa"/>
                  <w:tcBorders>
                    <w:top w:val="nil"/>
                    <w:left w:val="nil"/>
                    <w:bottom w:val="single" w:sz="4" w:space="0" w:color="auto"/>
                    <w:right w:val="single" w:sz="4" w:space="0" w:color="auto"/>
                  </w:tcBorders>
                  <w:shd w:val="clear" w:color="auto" w:fill="auto"/>
                  <w:noWrap/>
                  <w:vAlign w:val="bottom"/>
                </w:tcPr>
                <w:p w14:paraId="6F852164" w14:textId="77777777" w:rsidR="00130397" w:rsidRPr="00E2117E" w:rsidRDefault="00130397" w:rsidP="00130397">
                  <w:pPr>
                    <w:spacing w:after="0" w:line="240" w:lineRule="auto"/>
                    <w:rPr>
                      <w:rFonts w:ascii="Calibri" w:hAnsi="Calibri"/>
                      <w:color w:val="000000"/>
                      <w:sz w:val="18"/>
                      <w:lang w:eastAsia="en-AU"/>
                    </w:rPr>
                  </w:pPr>
                </w:p>
              </w:tc>
              <w:tc>
                <w:tcPr>
                  <w:tcW w:w="711" w:type="dxa"/>
                  <w:tcBorders>
                    <w:top w:val="nil"/>
                    <w:left w:val="nil"/>
                    <w:bottom w:val="single" w:sz="4" w:space="0" w:color="auto"/>
                    <w:right w:val="single" w:sz="4" w:space="0" w:color="auto"/>
                  </w:tcBorders>
                  <w:shd w:val="clear" w:color="auto" w:fill="auto"/>
                  <w:noWrap/>
                  <w:vAlign w:val="bottom"/>
                </w:tcPr>
                <w:p w14:paraId="615EE021" w14:textId="77777777" w:rsidR="00130397" w:rsidRPr="00E2117E" w:rsidRDefault="00130397" w:rsidP="00130397">
                  <w:pPr>
                    <w:spacing w:after="0" w:line="240" w:lineRule="auto"/>
                    <w:rPr>
                      <w:rFonts w:ascii="Calibri" w:hAnsi="Calibri"/>
                      <w:color w:val="000000"/>
                      <w:sz w:val="18"/>
                      <w:lang w:eastAsia="en-AU"/>
                    </w:rPr>
                  </w:pPr>
                </w:p>
              </w:tc>
              <w:tc>
                <w:tcPr>
                  <w:tcW w:w="912" w:type="dxa"/>
                  <w:tcBorders>
                    <w:top w:val="nil"/>
                    <w:left w:val="nil"/>
                    <w:bottom w:val="single" w:sz="4" w:space="0" w:color="auto"/>
                    <w:right w:val="single" w:sz="4" w:space="0" w:color="auto"/>
                  </w:tcBorders>
                  <w:shd w:val="clear" w:color="auto" w:fill="auto"/>
                  <w:noWrap/>
                  <w:vAlign w:val="bottom"/>
                </w:tcPr>
                <w:p w14:paraId="0FC94B00" w14:textId="77777777" w:rsidR="00130397" w:rsidRPr="00E2117E" w:rsidRDefault="00130397" w:rsidP="00130397">
                  <w:pPr>
                    <w:spacing w:after="0" w:line="240" w:lineRule="auto"/>
                    <w:rPr>
                      <w:rFonts w:ascii="Calibri" w:hAnsi="Calibri"/>
                      <w:color w:val="000000"/>
                      <w:sz w:val="18"/>
                      <w:lang w:eastAsia="en-AU"/>
                    </w:rPr>
                  </w:pPr>
                </w:p>
              </w:tc>
              <w:tc>
                <w:tcPr>
                  <w:tcW w:w="984" w:type="dxa"/>
                  <w:tcBorders>
                    <w:top w:val="nil"/>
                    <w:left w:val="nil"/>
                    <w:bottom w:val="single" w:sz="4" w:space="0" w:color="auto"/>
                    <w:right w:val="single" w:sz="4" w:space="0" w:color="auto"/>
                  </w:tcBorders>
                  <w:shd w:val="clear" w:color="auto" w:fill="auto"/>
                  <w:noWrap/>
                  <w:vAlign w:val="bottom"/>
                </w:tcPr>
                <w:p w14:paraId="384EFFE4" w14:textId="77777777" w:rsidR="00130397" w:rsidRPr="00E2117E" w:rsidRDefault="00130397" w:rsidP="00130397">
                  <w:pPr>
                    <w:spacing w:after="0" w:line="240" w:lineRule="auto"/>
                    <w:rPr>
                      <w:rFonts w:ascii="Calibri" w:hAnsi="Calibri"/>
                      <w:color w:val="000000"/>
                      <w:sz w:val="18"/>
                      <w:lang w:eastAsia="en-AU"/>
                    </w:rPr>
                  </w:pPr>
                </w:p>
              </w:tc>
              <w:tc>
                <w:tcPr>
                  <w:tcW w:w="750" w:type="dxa"/>
                  <w:tcBorders>
                    <w:top w:val="nil"/>
                    <w:left w:val="nil"/>
                    <w:bottom w:val="single" w:sz="4" w:space="0" w:color="auto"/>
                    <w:right w:val="single" w:sz="4" w:space="0" w:color="auto"/>
                  </w:tcBorders>
                  <w:shd w:val="clear" w:color="auto" w:fill="auto"/>
                  <w:noWrap/>
                  <w:vAlign w:val="bottom"/>
                </w:tcPr>
                <w:p w14:paraId="49BB8CD8" w14:textId="77777777" w:rsidR="00130397" w:rsidRPr="00E2117E" w:rsidRDefault="00130397" w:rsidP="00130397">
                  <w:pPr>
                    <w:spacing w:after="0" w:line="240" w:lineRule="auto"/>
                    <w:rPr>
                      <w:rFonts w:ascii="Calibri" w:hAnsi="Calibri"/>
                      <w:color w:val="000000"/>
                      <w:sz w:val="18"/>
                      <w:lang w:eastAsia="en-AU"/>
                    </w:rPr>
                  </w:pPr>
                </w:p>
              </w:tc>
            </w:tr>
            <w:tr w:rsidR="00130397" w:rsidRPr="00E2117E" w14:paraId="7E707591" w14:textId="77777777" w:rsidTr="00130397">
              <w:trPr>
                <w:trHeight w:val="288"/>
              </w:trPr>
              <w:tc>
                <w:tcPr>
                  <w:tcW w:w="1363" w:type="dxa"/>
                  <w:tcBorders>
                    <w:top w:val="nil"/>
                    <w:left w:val="nil"/>
                    <w:bottom w:val="single" w:sz="4" w:space="0" w:color="auto"/>
                    <w:right w:val="single" w:sz="4" w:space="0" w:color="auto"/>
                  </w:tcBorders>
                  <w:shd w:val="clear" w:color="auto" w:fill="auto"/>
                  <w:noWrap/>
                  <w:vAlign w:val="bottom"/>
                </w:tcPr>
                <w:p w14:paraId="7E115C46" w14:textId="77777777" w:rsidR="00130397" w:rsidRPr="00E2117E" w:rsidRDefault="00130397" w:rsidP="00130397">
                  <w:pPr>
                    <w:spacing w:after="0" w:line="240" w:lineRule="auto"/>
                    <w:rPr>
                      <w:rFonts w:ascii="Calibri" w:hAnsi="Calibri"/>
                      <w:color w:val="000000"/>
                      <w:sz w:val="18"/>
                      <w:lang w:eastAsia="en-AU"/>
                    </w:rPr>
                  </w:pPr>
                </w:p>
              </w:tc>
              <w:tc>
                <w:tcPr>
                  <w:tcW w:w="825" w:type="dxa"/>
                  <w:tcBorders>
                    <w:top w:val="nil"/>
                    <w:left w:val="nil"/>
                    <w:bottom w:val="single" w:sz="4" w:space="0" w:color="auto"/>
                    <w:right w:val="single" w:sz="4" w:space="0" w:color="auto"/>
                  </w:tcBorders>
                  <w:shd w:val="clear" w:color="auto" w:fill="auto"/>
                  <w:noWrap/>
                  <w:vAlign w:val="bottom"/>
                </w:tcPr>
                <w:p w14:paraId="7B0DF159" w14:textId="77777777" w:rsidR="00130397" w:rsidRPr="00E2117E" w:rsidRDefault="00130397" w:rsidP="00130397">
                  <w:pPr>
                    <w:spacing w:after="0" w:line="240" w:lineRule="auto"/>
                    <w:rPr>
                      <w:rFonts w:ascii="Calibri" w:hAnsi="Calibri"/>
                      <w:color w:val="000000"/>
                      <w:sz w:val="18"/>
                      <w:lang w:eastAsia="en-AU"/>
                    </w:rPr>
                  </w:pPr>
                </w:p>
              </w:tc>
              <w:tc>
                <w:tcPr>
                  <w:tcW w:w="825" w:type="dxa"/>
                  <w:tcBorders>
                    <w:top w:val="nil"/>
                    <w:left w:val="nil"/>
                    <w:bottom w:val="single" w:sz="4" w:space="0" w:color="auto"/>
                    <w:right w:val="single" w:sz="4" w:space="0" w:color="auto"/>
                  </w:tcBorders>
                  <w:shd w:val="clear" w:color="auto" w:fill="auto"/>
                  <w:noWrap/>
                  <w:vAlign w:val="bottom"/>
                </w:tcPr>
                <w:p w14:paraId="60F0D05A" w14:textId="77777777" w:rsidR="00130397" w:rsidRPr="00E2117E" w:rsidRDefault="00130397" w:rsidP="00130397">
                  <w:pPr>
                    <w:spacing w:after="0" w:line="240" w:lineRule="auto"/>
                    <w:rPr>
                      <w:rFonts w:ascii="Calibri" w:hAnsi="Calibri"/>
                      <w:color w:val="000000"/>
                      <w:sz w:val="18"/>
                      <w:lang w:eastAsia="en-AU"/>
                    </w:rPr>
                  </w:pPr>
                </w:p>
              </w:tc>
              <w:tc>
                <w:tcPr>
                  <w:tcW w:w="712" w:type="dxa"/>
                  <w:tcBorders>
                    <w:top w:val="nil"/>
                    <w:left w:val="nil"/>
                    <w:bottom w:val="single" w:sz="4" w:space="0" w:color="auto"/>
                    <w:right w:val="single" w:sz="4" w:space="0" w:color="auto"/>
                  </w:tcBorders>
                  <w:shd w:val="clear" w:color="auto" w:fill="auto"/>
                  <w:noWrap/>
                  <w:vAlign w:val="bottom"/>
                </w:tcPr>
                <w:p w14:paraId="1175F1A0" w14:textId="77777777" w:rsidR="00130397" w:rsidRPr="00E2117E" w:rsidRDefault="00130397" w:rsidP="00130397">
                  <w:pPr>
                    <w:spacing w:after="0" w:line="240" w:lineRule="auto"/>
                    <w:rPr>
                      <w:rFonts w:ascii="Calibri" w:hAnsi="Calibri"/>
                      <w:color w:val="000000"/>
                      <w:sz w:val="18"/>
                      <w:lang w:eastAsia="en-AU"/>
                    </w:rPr>
                  </w:pPr>
                </w:p>
              </w:tc>
              <w:tc>
                <w:tcPr>
                  <w:tcW w:w="912" w:type="dxa"/>
                  <w:tcBorders>
                    <w:top w:val="nil"/>
                    <w:left w:val="nil"/>
                    <w:bottom w:val="single" w:sz="4" w:space="0" w:color="auto"/>
                    <w:right w:val="single" w:sz="4" w:space="0" w:color="auto"/>
                  </w:tcBorders>
                  <w:shd w:val="clear" w:color="auto" w:fill="auto"/>
                  <w:noWrap/>
                  <w:vAlign w:val="bottom"/>
                </w:tcPr>
                <w:p w14:paraId="74C3544C" w14:textId="77777777" w:rsidR="00130397" w:rsidRPr="00E2117E" w:rsidRDefault="00130397" w:rsidP="00130397">
                  <w:pPr>
                    <w:spacing w:after="0" w:line="240" w:lineRule="auto"/>
                    <w:rPr>
                      <w:rFonts w:ascii="Calibri" w:hAnsi="Calibri"/>
                      <w:color w:val="000000"/>
                      <w:sz w:val="18"/>
                      <w:lang w:eastAsia="en-AU"/>
                    </w:rPr>
                  </w:pPr>
                </w:p>
              </w:tc>
              <w:tc>
                <w:tcPr>
                  <w:tcW w:w="1068" w:type="dxa"/>
                  <w:tcBorders>
                    <w:top w:val="nil"/>
                    <w:left w:val="nil"/>
                    <w:bottom w:val="single" w:sz="4" w:space="0" w:color="auto"/>
                    <w:right w:val="single" w:sz="4" w:space="0" w:color="auto"/>
                  </w:tcBorders>
                  <w:shd w:val="clear" w:color="auto" w:fill="auto"/>
                  <w:noWrap/>
                  <w:vAlign w:val="bottom"/>
                </w:tcPr>
                <w:p w14:paraId="0485EB43" w14:textId="77777777" w:rsidR="00130397" w:rsidRPr="00E2117E" w:rsidRDefault="00130397" w:rsidP="00130397">
                  <w:pPr>
                    <w:spacing w:after="0" w:line="240" w:lineRule="auto"/>
                    <w:rPr>
                      <w:rFonts w:ascii="Calibri" w:hAnsi="Calibri"/>
                      <w:color w:val="000000"/>
                      <w:sz w:val="18"/>
                      <w:lang w:eastAsia="en-AU"/>
                    </w:rPr>
                  </w:pPr>
                </w:p>
              </w:tc>
              <w:tc>
                <w:tcPr>
                  <w:tcW w:w="1068" w:type="dxa"/>
                  <w:tcBorders>
                    <w:top w:val="nil"/>
                    <w:left w:val="nil"/>
                    <w:bottom w:val="single" w:sz="4" w:space="0" w:color="auto"/>
                    <w:right w:val="single" w:sz="4" w:space="0" w:color="auto"/>
                  </w:tcBorders>
                  <w:shd w:val="clear" w:color="auto" w:fill="auto"/>
                  <w:noWrap/>
                  <w:vAlign w:val="bottom"/>
                </w:tcPr>
                <w:p w14:paraId="209F225D" w14:textId="77777777" w:rsidR="00130397" w:rsidRPr="00E2117E" w:rsidRDefault="00130397" w:rsidP="00130397">
                  <w:pPr>
                    <w:spacing w:after="0" w:line="240" w:lineRule="auto"/>
                    <w:rPr>
                      <w:rFonts w:ascii="Calibri" w:hAnsi="Calibri"/>
                      <w:color w:val="000000"/>
                      <w:sz w:val="18"/>
                      <w:lang w:eastAsia="en-AU"/>
                    </w:rPr>
                  </w:pPr>
                </w:p>
              </w:tc>
              <w:tc>
                <w:tcPr>
                  <w:tcW w:w="711" w:type="dxa"/>
                  <w:tcBorders>
                    <w:top w:val="nil"/>
                    <w:left w:val="nil"/>
                    <w:bottom w:val="single" w:sz="4" w:space="0" w:color="auto"/>
                    <w:right w:val="single" w:sz="4" w:space="0" w:color="auto"/>
                  </w:tcBorders>
                  <w:shd w:val="clear" w:color="auto" w:fill="auto"/>
                  <w:noWrap/>
                  <w:vAlign w:val="bottom"/>
                </w:tcPr>
                <w:p w14:paraId="13F60608" w14:textId="77777777" w:rsidR="00130397" w:rsidRPr="00E2117E" w:rsidRDefault="00130397" w:rsidP="00130397">
                  <w:pPr>
                    <w:spacing w:after="0" w:line="240" w:lineRule="auto"/>
                    <w:rPr>
                      <w:rFonts w:ascii="Calibri" w:hAnsi="Calibri"/>
                      <w:color w:val="000000"/>
                      <w:sz w:val="18"/>
                      <w:lang w:eastAsia="en-AU"/>
                    </w:rPr>
                  </w:pPr>
                </w:p>
              </w:tc>
              <w:tc>
                <w:tcPr>
                  <w:tcW w:w="912" w:type="dxa"/>
                  <w:tcBorders>
                    <w:top w:val="nil"/>
                    <w:left w:val="nil"/>
                    <w:bottom w:val="single" w:sz="4" w:space="0" w:color="auto"/>
                    <w:right w:val="single" w:sz="4" w:space="0" w:color="auto"/>
                  </w:tcBorders>
                  <w:shd w:val="clear" w:color="auto" w:fill="auto"/>
                  <w:noWrap/>
                  <w:vAlign w:val="bottom"/>
                </w:tcPr>
                <w:p w14:paraId="605215E1" w14:textId="77777777" w:rsidR="00130397" w:rsidRPr="00E2117E" w:rsidRDefault="00130397" w:rsidP="00130397">
                  <w:pPr>
                    <w:spacing w:after="0" w:line="240" w:lineRule="auto"/>
                    <w:rPr>
                      <w:rFonts w:ascii="Calibri" w:hAnsi="Calibri"/>
                      <w:color w:val="000000"/>
                      <w:sz w:val="18"/>
                      <w:lang w:eastAsia="en-AU"/>
                    </w:rPr>
                  </w:pPr>
                </w:p>
              </w:tc>
              <w:tc>
                <w:tcPr>
                  <w:tcW w:w="984" w:type="dxa"/>
                  <w:tcBorders>
                    <w:top w:val="nil"/>
                    <w:left w:val="nil"/>
                    <w:bottom w:val="single" w:sz="4" w:space="0" w:color="auto"/>
                    <w:right w:val="single" w:sz="4" w:space="0" w:color="auto"/>
                  </w:tcBorders>
                  <w:shd w:val="clear" w:color="auto" w:fill="auto"/>
                  <w:noWrap/>
                  <w:vAlign w:val="bottom"/>
                </w:tcPr>
                <w:p w14:paraId="481E42B0" w14:textId="77777777" w:rsidR="00130397" w:rsidRPr="00E2117E" w:rsidRDefault="00130397" w:rsidP="00130397">
                  <w:pPr>
                    <w:spacing w:after="0" w:line="240" w:lineRule="auto"/>
                    <w:rPr>
                      <w:rFonts w:ascii="Calibri" w:hAnsi="Calibri"/>
                      <w:color w:val="000000"/>
                      <w:sz w:val="18"/>
                      <w:lang w:eastAsia="en-AU"/>
                    </w:rPr>
                  </w:pPr>
                </w:p>
              </w:tc>
              <w:tc>
                <w:tcPr>
                  <w:tcW w:w="750" w:type="dxa"/>
                  <w:tcBorders>
                    <w:top w:val="nil"/>
                    <w:left w:val="nil"/>
                    <w:bottom w:val="single" w:sz="4" w:space="0" w:color="auto"/>
                    <w:right w:val="single" w:sz="4" w:space="0" w:color="auto"/>
                  </w:tcBorders>
                  <w:shd w:val="clear" w:color="auto" w:fill="auto"/>
                  <w:noWrap/>
                  <w:vAlign w:val="bottom"/>
                </w:tcPr>
                <w:p w14:paraId="4BF12DA2" w14:textId="77777777" w:rsidR="00130397" w:rsidRPr="00E2117E" w:rsidRDefault="00130397" w:rsidP="00130397">
                  <w:pPr>
                    <w:spacing w:after="0" w:line="240" w:lineRule="auto"/>
                    <w:rPr>
                      <w:rFonts w:ascii="Calibri" w:hAnsi="Calibri"/>
                      <w:color w:val="000000"/>
                      <w:sz w:val="18"/>
                      <w:lang w:eastAsia="en-AU"/>
                    </w:rPr>
                  </w:pPr>
                </w:p>
              </w:tc>
            </w:tr>
            <w:tr w:rsidR="00130397" w:rsidRPr="00E2117E" w14:paraId="5B006E07" w14:textId="77777777" w:rsidTr="00130397">
              <w:trPr>
                <w:trHeight w:val="288"/>
              </w:trPr>
              <w:tc>
                <w:tcPr>
                  <w:tcW w:w="1363" w:type="dxa"/>
                  <w:tcBorders>
                    <w:top w:val="nil"/>
                    <w:left w:val="nil"/>
                    <w:bottom w:val="single" w:sz="4" w:space="0" w:color="auto"/>
                    <w:right w:val="single" w:sz="4" w:space="0" w:color="auto"/>
                  </w:tcBorders>
                  <w:shd w:val="clear" w:color="auto" w:fill="auto"/>
                  <w:noWrap/>
                  <w:vAlign w:val="bottom"/>
                </w:tcPr>
                <w:p w14:paraId="3B5B3416" w14:textId="77777777" w:rsidR="00130397" w:rsidRPr="00E2117E" w:rsidRDefault="00130397" w:rsidP="00130397">
                  <w:pPr>
                    <w:spacing w:after="0" w:line="240" w:lineRule="auto"/>
                    <w:rPr>
                      <w:rFonts w:ascii="Calibri" w:hAnsi="Calibri"/>
                      <w:color w:val="000000"/>
                      <w:sz w:val="18"/>
                      <w:lang w:eastAsia="en-AU"/>
                    </w:rPr>
                  </w:pPr>
                </w:p>
              </w:tc>
              <w:tc>
                <w:tcPr>
                  <w:tcW w:w="825" w:type="dxa"/>
                  <w:tcBorders>
                    <w:top w:val="nil"/>
                    <w:left w:val="nil"/>
                    <w:bottom w:val="single" w:sz="4" w:space="0" w:color="auto"/>
                    <w:right w:val="single" w:sz="4" w:space="0" w:color="auto"/>
                  </w:tcBorders>
                  <w:shd w:val="clear" w:color="auto" w:fill="auto"/>
                  <w:noWrap/>
                  <w:vAlign w:val="bottom"/>
                </w:tcPr>
                <w:p w14:paraId="34EA05F0" w14:textId="77777777" w:rsidR="00130397" w:rsidRPr="00E2117E" w:rsidRDefault="00130397" w:rsidP="00130397">
                  <w:pPr>
                    <w:spacing w:after="0" w:line="240" w:lineRule="auto"/>
                    <w:rPr>
                      <w:rFonts w:ascii="Calibri" w:hAnsi="Calibri"/>
                      <w:color w:val="000000"/>
                      <w:sz w:val="18"/>
                      <w:lang w:eastAsia="en-AU"/>
                    </w:rPr>
                  </w:pPr>
                </w:p>
              </w:tc>
              <w:tc>
                <w:tcPr>
                  <w:tcW w:w="825" w:type="dxa"/>
                  <w:tcBorders>
                    <w:top w:val="nil"/>
                    <w:left w:val="nil"/>
                    <w:bottom w:val="single" w:sz="4" w:space="0" w:color="auto"/>
                    <w:right w:val="single" w:sz="4" w:space="0" w:color="auto"/>
                  </w:tcBorders>
                  <w:shd w:val="clear" w:color="auto" w:fill="auto"/>
                  <w:noWrap/>
                  <w:vAlign w:val="bottom"/>
                </w:tcPr>
                <w:p w14:paraId="10F288C7" w14:textId="77777777" w:rsidR="00130397" w:rsidRPr="00E2117E" w:rsidRDefault="00130397" w:rsidP="00130397">
                  <w:pPr>
                    <w:spacing w:after="0" w:line="240" w:lineRule="auto"/>
                    <w:rPr>
                      <w:rFonts w:ascii="Calibri" w:hAnsi="Calibri"/>
                      <w:color w:val="000000"/>
                      <w:sz w:val="18"/>
                      <w:lang w:eastAsia="en-AU"/>
                    </w:rPr>
                  </w:pPr>
                </w:p>
              </w:tc>
              <w:tc>
                <w:tcPr>
                  <w:tcW w:w="712" w:type="dxa"/>
                  <w:tcBorders>
                    <w:top w:val="nil"/>
                    <w:left w:val="nil"/>
                    <w:bottom w:val="single" w:sz="4" w:space="0" w:color="auto"/>
                    <w:right w:val="single" w:sz="4" w:space="0" w:color="auto"/>
                  </w:tcBorders>
                  <w:shd w:val="clear" w:color="auto" w:fill="auto"/>
                  <w:noWrap/>
                  <w:vAlign w:val="bottom"/>
                </w:tcPr>
                <w:p w14:paraId="437603CC" w14:textId="77777777" w:rsidR="00130397" w:rsidRPr="00E2117E" w:rsidRDefault="00130397" w:rsidP="00130397">
                  <w:pPr>
                    <w:spacing w:after="0" w:line="240" w:lineRule="auto"/>
                    <w:rPr>
                      <w:rFonts w:ascii="Calibri" w:hAnsi="Calibri"/>
                      <w:color w:val="000000"/>
                      <w:sz w:val="18"/>
                      <w:lang w:eastAsia="en-AU"/>
                    </w:rPr>
                  </w:pPr>
                </w:p>
              </w:tc>
              <w:tc>
                <w:tcPr>
                  <w:tcW w:w="912" w:type="dxa"/>
                  <w:tcBorders>
                    <w:top w:val="nil"/>
                    <w:left w:val="nil"/>
                    <w:bottom w:val="single" w:sz="4" w:space="0" w:color="auto"/>
                    <w:right w:val="single" w:sz="4" w:space="0" w:color="auto"/>
                  </w:tcBorders>
                  <w:shd w:val="clear" w:color="auto" w:fill="auto"/>
                  <w:noWrap/>
                  <w:vAlign w:val="bottom"/>
                </w:tcPr>
                <w:p w14:paraId="217C8A38" w14:textId="77777777" w:rsidR="00130397" w:rsidRPr="00E2117E" w:rsidRDefault="00130397" w:rsidP="00130397">
                  <w:pPr>
                    <w:spacing w:after="0" w:line="240" w:lineRule="auto"/>
                    <w:rPr>
                      <w:rFonts w:ascii="Calibri" w:hAnsi="Calibri"/>
                      <w:color w:val="000000"/>
                      <w:sz w:val="18"/>
                      <w:lang w:eastAsia="en-AU"/>
                    </w:rPr>
                  </w:pPr>
                </w:p>
              </w:tc>
              <w:tc>
                <w:tcPr>
                  <w:tcW w:w="1068" w:type="dxa"/>
                  <w:tcBorders>
                    <w:top w:val="nil"/>
                    <w:left w:val="nil"/>
                    <w:bottom w:val="single" w:sz="4" w:space="0" w:color="auto"/>
                    <w:right w:val="single" w:sz="4" w:space="0" w:color="auto"/>
                  </w:tcBorders>
                  <w:shd w:val="clear" w:color="auto" w:fill="auto"/>
                  <w:noWrap/>
                  <w:vAlign w:val="bottom"/>
                </w:tcPr>
                <w:p w14:paraId="41CF4968" w14:textId="77777777" w:rsidR="00130397" w:rsidRPr="00E2117E" w:rsidRDefault="00130397" w:rsidP="00130397">
                  <w:pPr>
                    <w:spacing w:after="0" w:line="240" w:lineRule="auto"/>
                    <w:rPr>
                      <w:rFonts w:ascii="Calibri" w:hAnsi="Calibri"/>
                      <w:color w:val="000000"/>
                      <w:sz w:val="18"/>
                      <w:lang w:eastAsia="en-AU"/>
                    </w:rPr>
                  </w:pPr>
                </w:p>
              </w:tc>
              <w:tc>
                <w:tcPr>
                  <w:tcW w:w="1068" w:type="dxa"/>
                  <w:tcBorders>
                    <w:top w:val="nil"/>
                    <w:left w:val="nil"/>
                    <w:bottom w:val="single" w:sz="4" w:space="0" w:color="auto"/>
                    <w:right w:val="single" w:sz="4" w:space="0" w:color="auto"/>
                  </w:tcBorders>
                  <w:shd w:val="clear" w:color="auto" w:fill="auto"/>
                  <w:noWrap/>
                  <w:vAlign w:val="bottom"/>
                </w:tcPr>
                <w:p w14:paraId="483FE410" w14:textId="77777777" w:rsidR="00130397" w:rsidRPr="00E2117E" w:rsidRDefault="00130397" w:rsidP="00130397">
                  <w:pPr>
                    <w:spacing w:after="0" w:line="240" w:lineRule="auto"/>
                    <w:rPr>
                      <w:rFonts w:ascii="Calibri" w:hAnsi="Calibri"/>
                      <w:color w:val="000000"/>
                      <w:sz w:val="18"/>
                      <w:lang w:eastAsia="en-AU"/>
                    </w:rPr>
                  </w:pPr>
                </w:p>
              </w:tc>
              <w:tc>
                <w:tcPr>
                  <w:tcW w:w="711" w:type="dxa"/>
                  <w:tcBorders>
                    <w:top w:val="nil"/>
                    <w:left w:val="nil"/>
                    <w:bottom w:val="single" w:sz="4" w:space="0" w:color="auto"/>
                    <w:right w:val="single" w:sz="4" w:space="0" w:color="auto"/>
                  </w:tcBorders>
                  <w:shd w:val="clear" w:color="auto" w:fill="auto"/>
                  <w:noWrap/>
                  <w:vAlign w:val="bottom"/>
                </w:tcPr>
                <w:p w14:paraId="561D0603" w14:textId="77777777" w:rsidR="00130397" w:rsidRPr="00E2117E" w:rsidRDefault="00130397" w:rsidP="00130397">
                  <w:pPr>
                    <w:spacing w:after="0" w:line="240" w:lineRule="auto"/>
                    <w:rPr>
                      <w:rFonts w:ascii="Calibri" w:hAnsi="Calibri"/>
                      <w:color w:val="000000"/>
                      <w:sz w:val="18"/>
                      <w:lang w:eastAsia="en-AU"/>
                    </w:rPr>
                  </w:pPr>
                </w:p>
              </w:tc>
              <w:tc>
                <w:tcPr>
                  <w:tcW w:w="912" w:type="dxa"/>
                  <w:tcBorders>
                    <w:top w:val="nil"/>
                    <w:left w:val="nil"/>
                    <w:bottom w:val="single" w:sz="4" w:space="0" w:color="auto"/>
                    <w:right w:val="single" w:sz="4" w:space="0" w:color="auto"/>
                  </w:tcBorders>
                  <w:shd w:val="clear" w:color="auto" w:fill="auto"/>
                  <w:noWrap/>
                  <w:vAlign w:val="bottom"/>
                </w:tcPr>
                <w:p w14:paraId="327C96E1" w14:textId="77777777" w:rsidR="00130397" w:rsidRPr="00E2117E" w:rsidRDefault="00130397" w:rsidP="00130397">
                  <w:pPr>
                    <w:spacing w:after="0" w:line="240" w:lineRule="auto"/>
                    <w:rPr>
                      <w:rFonts w:ascii="Calibri" w:hAnsi="Calibri"/>
                      <w:color w:val="000000"/>
                      <w:sz w:val="18"/>
                      <w:lang w:eastAsia="en-AU"/>
                    </w:rPr>
                  </w:pPr>
                </w:p>
              </w:tc>
              <w:tc>
                <w:tcPr>
                  <w:tcW w:w="984" w:type="dxa"/>
                  <w:tcBorders>
                    <w:top w:val="nil"/>
                    <w:left w:val="nil"/>
                    <w:bottom w:val="single" w:sz="4" w:space="0" w:color="auto"/>
                    <w:right w:val="single" w:sz="4" w:space="0" w:color="auto"/>
                  </w:tcBorders>
                  <w:shd w:val="clear" w:color="auto" w:fill="auto"/>
                  <w:noWrap/>
                  <w:vAlign w:val="bottom"/>
                </w:tcPr>
                <w:p w14:paraId="70B4FDE4" w14:textId="77777777" w:rsidR="00130397" w:rsidRPr="00E2117E" w:rsidRDefault="00130397" w:rsidP="00130397">
                  <w:pPr>
                    <w:spacing w:after="0" w:line="240" w:lineRule="auto"/>
                    <w:rPr>
                      <w:rFonts w:ascii="Calibri" w:hAnsi="Calibri"/>
                      <w:color w:val="000000"/>
                      <w:sz w:val="18"/>
                      <w:lang w:eastAsia="en-AU"/>
                    </w:rPr>
                  </w:pPr>
                </w:p>
              </w:tc>
              <w:tc>
                <w:tcPr>
                  <w:tcW w:w="750" w:type="dxa"/>
                  <w:tcBorders>
                    <w:top w:val="nil"/>
                    <w:left w:val="nil"/>
                    <w:bottom w:val="single" w:sz="4" w:space="0" w:color="auto"/>
                    <w:right w:val="single" w:sz="4" w:space="0" w:color="auto"/>
                  </w:tcBorders>
                  <w:shd w:val="clear" w:color="auto" w:fill="auto"/>
                  <w:noWrap/>
                  <w:vAlign w:val="bottom"/>
                </w:tcPr>
                <w:p w14:paraId="6A7D10F5" w14:textId="77777777" w:rsidR="00130397" w:rsidRPr="00E2117E" w:rsidRDefault="00130397" w:rsidP="00130397">
                  <w:pPr>
                    <w:spacing w:after="0" w:line="240" w:lineRule="auto"/>
                    <w:rPr>
                      <w:rFonts w:ascii="Calibri" w:hAnsi="Calibri"/>
                      <w:color w:val="000000"/>
                      <w:sz w:val="18"/>
                      <w:lang w:eastAsia="en-AU"/>
                    </w:rPr>
                  </w:pPr>
                </w:p>
              </w:tc>
            </w:tr>
            <w:tr w:rsidR="00130397" w:rsidRPr="00E2117E" w14:paraId="3E13814C" w14:textId="77777777" w:rsidTr="00130397">
              <w:trPr>
                <w:trHeight w:val="288"/>
              </w:trPr>
              <w:tc>
                <w:tcPr>
                  <w:tcW w:w="1363" w:type="dxa"/>
                  <w:tcBorders>
                    <w:top w:val="nil"/>
                    <w:left w:val="nil"/>
                    <w:bottom w:val="single" w:sz="4" w:space="0" w:color="auto"/>
                    <w:right w:val="single" w:sz="4" w:space="0" w:color="auto"/>
                  </w:tcBorders>
                  <w:shd w:val="clear" w:color="auto" w:fill="auto"/>
                  <w:noWrap/>
                  <w:vAlign w:val="bottom"/>
                </w:tcPr>
                <w:p w14:paraId="3A89F961" w14:textId="77777777" w:rsidR="00130397" w:rsidRPr="00E2117E" w:rsidRDefault="00130397" w:rsidP="00130397">
                  <w:pPr>
                    <w:spacing w:after="0" w:line="240" w:lineRule="auto"/>
                    <w:rPr>
                      <w:rFonts w:ascii="Calibri" w:hAnsi="Calibri"/>
                      <w:color w:val="000000"/>
                      <w:sz w:val="18"/>
                      <w:lang w:eastAsia="en-AU"/>
                    </w:rPr>
                  </w:pPr>
                </w:p>
              </w:tc>
              <w:tc>
                <w:tcPr>
                  <w:tcW w:w="825" w:type="dxa"/>
                  <w:tcBorders>
                    <w:top w:val="nil"/>
                    <w:left w:val="nil"/>
                    <w:bottom w:val="single" w:sz="4" w:space="0" w:color="auto"/>
                    <w:right w:val="single" w:sz="4" w:space="0" w:color="auto"/>
                  </w:tcBorders>
                  <w:shd w:val="clear" w:color="auto" w:fill="auto"/>
                  <w:noWrap/>
                  <w:vAlign w:val="bottom"/>
                </w:tcPr>
                <w:p w14:paraId="5A30DB39" w14:textId="77777777" w:rsidR="00130397" w:rsidRPr="00E2117E" w:rsidRDefault="00130397" w:rsidP="00130397">
                  <w:pPr>
                    <w:spacing w:after="0" w:line="240" w:lineRule="auto"/>
                    <w:rPr>
                      <w:rFonts w:ascii="Calibri" w:hAnsi="Calibri"/>
                      <w:color w:val="000000"/>
                      <w:sz w:val="18"/>
                      <w:lang w:eastAsia="en-AU"/>
                    </w:rPr>
                  </w:pPr>
                </w:p>
              </w:tc>
              <w:tc>
                <w:tcPr>
                  <w:tcW w:w="825" w:type="dxa"/>
                  <w:tcBorders>
                    <w:top w:val="nil"/>
                    <w:left w:val="nil"/>
                    <w:bottom w:val="single" w:sz="4" w:space="0" w:color="auto"/>
                    <w:right w:val="single" w:sz="4" w:space="0" w:color="auto"/>
                  </w:tcBorders>
                  <w:shd w:val="clear" w:color="auto" w:fill="auto"/>
                  <w:noWrap/>
                  <w:vAlign w:val="bottom"/>
                </w:tcPr>
                <w:p w14:paraId="1F570382" w14:textId="77777777" w:rsidR="00130397" w:rsidRPr="00E2117E" w:rsidRDefault="00130397" w:rsidP="00130397">
                  <w:pPr>
                    <w:spacing w:after="0" w:line="240" w:lineRule="auto"/>
                    <w:rPr>
                      <w:rFonts w:ascii="Calibri" w:hAnsi="Calibri"/>
                      <w:color w:val="000000"/>
                      <w:sz w:val="18"/>
                      <w:lang w:eastAsia="en-AU"/>
                    </w:rPr>
                  </w:pPr>
                </w:p>
              </w:tc>
              <w:tc>
                <w:tcPr>
                  <w:tcW w:w="712" w:type="dxa"/>
                  <w:tcBorders>
                    <w:top w:val="nil"/>
                    <w:left w:val="nil"/>
                    <w:bottom w:val="single" w:sz="4" w:space="0" w:color="auto"/>
                    <w:right w:val="single" w:sz="4" w:space="0" w:color="auto"/>
                  </w:tcBorders>
                  <w:shd w:val="clear" w:color="auto" w:fill="auto"/>
                  <w:noWrap/>
                  <w:vAlign w:val="bottom"/>
                </w:tcPr>
                <w:p w14:paraId="682E57FC" w14:textId="77777777" w:rsidR="00130397" w:rsidRPr="00E2117E" w:rsidRDefault="00130397" w:rsidP="00130397">
                  <w:pPr>
                    <w:spacing w:after="0" w:line="240" w:lineRule="auto"/>
                    <w:rPr>
                      <w:rFonts w:ascii="Calibri" w:hAnsi="Calibri"/>
                      <w:color w:val="000000"/>
                      <w:sz w:val="18"/>
                      <w:lang w:eastAsia="en-AU"/>
                    </w:rPr>
                  </w:pPr>
                </w:p>
              </w:tc>
              <w:tc>
                <w:tcPr>
                  <w:tcW w:w="912" w:type="dxa"/>
                  <w:tcBorders>
                    <w:top w:val="nil"/>
                    <w:left w:val="nil"/>
                    <w:bottom w:val="single" w:sz="4" w:space="0" w:color="auto"/>
                    <w:right w:val="single" w:sz="4" w:space="0" w:color="auto"/>
                  </w:tcBorders>
                  <w:shd w:val="clear" w:color="auto" w:fill="auto"/>
                  <w:noWrap/>
                  <w:vAlign w:val="bottom"/>
                </w:tcPr>
                <w:p w14:paraId="54F23C82" w14:textId="77777777" w:rsidR="00130397" w:rsidRPr="00E2117E" w:rsidRDefault="00130397" w:rsidP="00130397">
                  <w:pPr>
                    <w:spacing w:after="0" w:line="240" w:lineRule="auto"/>
                    <w:rPr>
                      <w:rFonts w:ascii="Calibri" w:hAnsi="Calibri"/>
                      <w:color w:val="000000"/>
                      <w:sz w:val="18"/>
                      <w:lang w:eastAsia="en-AU"/>
                    </w:rPr>
                  </w:pPr>
                </w:p>
              </w:tc>
              <w:tc>
                <w:tcPr>
                  <w:tcW w:w="1068" w:type="dxa"/>
                  <w:tcBorders>
                    <w:top w:val="nil"/>
                    <w:left w:val="nil"/>
                    <w:bottom w:val="single" w:sz="4" w:space="0" w:color="auto"/>
                    <w:right w:val="single" w:sz="4" w:space="0" w:color="auto"/>
                  </w:tcBorders>
                  <w:shd w:val="clear" w:color="auto" w:fill="auto"/>
                  <w:noWrap/>
                  <w:vAlign w:val="bottom"/>
                </w:tcPr>
                <w:p w14:paraId="6C081885" w14:textId="77777777" w:rsidR="00130397" w:rsidRPr="00E2117E" w:rsidRDefault="00130397" w:rsidP="00130397">
                  <w:pPr>
                    <w:spacing w:after="0" w:line="240" w:lineRule="auto"/>
                    <w:rPr>
                      <w:rFonts w:ascii="Calibri" w:hAnsi="Calibri"/>
                      <w:color w:val="000000"/>
                      <w:sz w:val="18"/>
                      <w:lang w:eastAsia="en-AU"/>
                    </w:rPr>
                  </w:pPr>
                </w:p>
              </w:tc>
              <w:tc>
                <w:tcPr>
                  <w:tcW w:w="1068" w:type="dxa"/>
                  <w:tcBorders>
                    <w:top w:val="nil"/>
                    <w:left w:val="nil"/>
                    <w:bottom w:val="single" w:sz="4" w:space="0" w:color="auto"/>
                    <w:right w:val="single" w:sz="4" w:space="0" w:color="auto"/>
                  </w:tcBorders>
                  <w:shd w:val="clear" w:color="auto" w:fill="auto"/>
                  <w:noWrap/>
                  <w:vAlign w:val="bottom"/>
                </w:tcPr>
                <w:p w14:paraId="0DA1A998" w14:textId="77777777" w:rsidR="00130397" w:rsidRPr="00E2117E" w:rsidRDefault="00130397" w:rsidP="00130397">
                  <w:pPr>
                    <w:spacing w:after="0" w:line="240" w:lineRule="auto"/>
                    <w:rPr>
                      <w:rFonts w:ascii="Calibri" w:hAnsi="Calibri"/>
                      <w:color w:val="000000"/>
                      <w:sz w:val="18"/>
                      <w:lang w:eastAsia="en-AU"/>
                    </w:rPr>
                  </w:pPr>
                </w:p>
              </w:tc>
              <w:tc>
                <w:tcPr>
                  <w:tcW w:w="711" w:type="dxa"/>
                  <w:tcBorders>
                    <w:top w:val="nil"/>
                    <w:left w:val="nil"/>
                    <w:bottom w:val="single" w:sz="4" w:space="0" w:color="auto"/>
                    <w:right w:val="single" w:sz="4" w:space="0" w:color="auto"/>
                  </w:tcBorders>
                  <w:shd w:val="clear" w:color="auto" w:fill="auto"/>
                  <w:noWrap/>
                  <w:vAlign w:val="bottom"/>
                </w:tcPr>
                <w:p w14:paraId="0DF3E8B0" w14:textId="77777777" w:rsidR="00130397" w:rsidRPr="00E2117E" w:rsidRDefault="00130397" w:rsidP="00130397">
                  <w:pPr>
                    <w:spacing w:after="0" w:line="240" w:lineRule="auto"/>
                    <w:rPr>
                      <w:rFonts w:ascii="Calibri" w:hAnsi="Calibri"/>
                      <w:color w:val="000000"/>
                      <w:sz w:val="18"/>
                      <w:lang w:eastAsia="en-AU"/>
                    </w:rPr>
                  </w:pPr>
                </w:p>
              </w:tc>
              <w:tc>
                <w:tcPr>
                  <w:tcW w:w="912" w:type="dxa"/>
                  <w:tcBorders>
                    <w:top w:val="nil"/>
                    <w:left w:val="nil"/>
                    <w:bottom w:val="single" w:sz="4" w:space="0" w:color="auto"/>
                    <w:right w:val="single" w:sz="4" w:space="0" w:color="auto"/>
                  </w:tcBorders>
                  <w:shd w:val="clear" w:color="auto" w:fill="auto"/>
                  <w:noWrap/>
                  <w:vAlign w:val="bottom"/>
                </w:tcPr>
                <w:p w14:paraId="613271D1" w14:textId="77777777" w:rsidR="00130397" w:rsidRPr="00E2117E" w:rsidRDefault="00130397" w:rsidP="00130397">
                  <w:pPr>
                    <w:spacing w:after="0" w:line="240" w:lineRule="auto"/>
                    <w:rPr>
                      <w:rFonts w:ascii="Calibri" w:hAnsi="Calibri"/>
                      <w:color w:val="000000"/>
                      <w:sz w:val="18"/>
                      <w:lang w:eastAsia="en-AU"/>
                    </w:rPr>
                  </w:pPr>
                </w:p>
              </w:tc>
              <w:tc>
                <w:tcPr>
                  <w:tcW w:w="984" w:type="dxa"/>
                  <w:tcBorders>
                    <w:top w:val="nil"/>
                    <w:left w:val="nil"/>
                    <w:bottom w:val="single" w:sz="4" w:space="0" w:color="auto"/>
                    <w:right w:val="single" w:sz="4" w:space="0" w:color="auto"/>
                  </w:tcBorders>
                  <w:shd w:val="clear" w:color="auto" w:fill="auto"/>
                  <w:noWrap/>
                  <w:vAlign w:val="bottom"/>
                </w:tcPr>
                <w:p w14:paraId="67453C82" w14:textId="77777777" w:rsidR="00130397" w:rsidRPr="00E2117E" w:rsidRDefault="00130397" w:rsidP="00130397">
                  <w:pPr>
                    <w:spacing w:after="0" w:line="240" w:lineRule="auto"/>
                    <w:rPr>
                      <w:rFonts w:ascii="Calibri" w:hAnsi="Calibri"/>
                      <w:color w:val="000000"/>
                      <w:sz w:val="18"/>
                      <w:lang w:eastAsia="en-AU"/>
                    </w:rPr>
                  </w:pPr>
                </w:p>
              </w:tc>
              <w:tc>
                <w:tcPr>
                  <w:tcW w:w="750" w:type="dxa"/>
                  <w:tcBorders>
                    <w:top w:val="nil"/>
                    <w:left w:val="nil"/>
                    <w:bottom w:val="single" w:sz="4" w:space="0" w:color="auto"/>
                    <w:right w:val="single" w:sz="4" w:space="0" w:color="auto"/>
                  </w:tcBorders>
                  <w:shd w:val="clear" w:color="auto" w:fill="auto"/>
                  <w:noWrap/>
                  <w:vAlign w:val="bottom"/>
                </w:tcPr>
                <w:p w14:paraId="662F4268" w14:textId="77777777" w:rsidR="00130397" w:rsidRPr="00E2117E" w:rsidRDefault="00130397" w:rsidP="00130397">
                  <w:pPr>
                    <w:spacing w:after="0" w:line="240" w:lineRule="auto"/>
                    <w:rPr>
                      <w:rFonts w:ascii="Calibri" w:hAnsi="Calibri"/>
                      <w:color w:val="000000"/>
                      <w:sz w:val="18"/>
                      <w:lang w:eastAsia="en-AU"/>
                    </w:rPr>
                  </w:pPr>
                </w:p>
              </w:tc>
            </w:tr>
            <w:tr w:rsidR="00130397" w:rsidRPr="00E2117E" w14:paraId="09A51A5D" w14:textId="77777777" w:rsidTr="00130397">
              <w:trPr>
                <w:trHeight w:val="288"/>
              </w:trPr>
              <w:tc>
                <w:tcPr>
                  <w:tcW w:w="1363" w:type="dxa"/>
                  <w:tcBorders>
                    <w:top w:val="nil"/>
                    <w:left w:val="nil"/>
                    <w:bottom w:val="single" w:sz="4" w:space="0" w:color="auto"/>
                    <w:right w:val="single" w:sz="4" w:space="0" w:color="auto"/>
                  </w:tcBorders>
                  <w:shd w:val="clear" w:color="auto" w:fill="auto"/>
                  <w:noWrap/>
                  <w:vAlign w:val="bottom"/>
                </w:tcPr>
                <w:p w14:paraId="0D542192" w14:textId="77777777" w:rsidR="00130397" w:rsidRPr="00E2117E" w:rsidRDefault="00130397" w:rsidP="00130397">
                  <w:pPr>
                    <w:spacing w:after="0" w:line="240" w:lineRule="auto"/>
                    <w:rPr>
                      <w:rFonts w:ascii="Calibri" w:hAnsi="Calibri"/>
                      <w:color w:val="000000"/>
                      <w:sz w:val="18"/>
                      <w:lang w:eastAsia="en-AU"/>
                    </w:rPr>
                  </w:pPr>
                </w:p>
              </w:tc>
              <w:tc>
                <w:tcPr>
                  <w:tcW w:w="825" w:type="dxa"/>
                  <w:tcBorders>
                    <w:top w:val="nil"/>
                    <w:left w:val="nil"/>
                    <w:bottom w:val="single" w:sz="4" w:space="0" w:color="auto"/>
                    <w:right w:val="single" w:sz="4" w:space="0" w:color="auto"/>
                  </w:tcBorders>
                  <w:shd w:val="clear" w:color="auto" w:fill="auto"/>
                  <w:noWrap/>
                  <w:vAlign w:val="bottom"/>
                </w:tcPr>
                <w:p w14:paraId="6F989329" w14:textId="77777777" w:rsidR="00130397" w:rsidRPr="00E2117E" w:rsidRDefault="00130397" w:rsidP="00130397">
                  <w:pPr>
                    <w:spacing w:after="0" w:line="240" w:lineRule="auto"/>
                    <w:rPr>
                      <w:rFonts w:ascii="Calibri" w:hAnsi="Calibri"/>
                      <w:color w:val="000000"/>
                      <w:sz w:val="18"/>
                      <w:lang w:eastAsia="en-AU"/>
                    </w:rPr>
                  </w:pPr>
                </w:p>
              </w:tc>
              <w:tc>
                <w:tcPr>
                  <w:tcW w:w="825" w:type="dxa"/>
                  <w:tcBorders>
                    <w:top w:val="nil"/>
                    <w:left w:val="nil"/>
                    <w:bottom w:val="single" w:sz="4" w:space="0" w:color="auto"/>
                    <w:right w:val="single" w:sz="4" w:space="0" w:color="auto"/>
                  </w:tcBorders>
                  <w:shd w:val="clear" w:color="auto" w:fill="auto"/>
                  <w:noWrap/>
                  <w:vAlign w:val="bottom"/>
                </w:tcPr>
                <w:p w14:paraId="4B5283C8" w14:textId="77777777" w:rsidR="00130397" w:rsidRPr="00E2117E" w:rsidRDefault="00130397" w:rsidP="00130397">
                  <w:pPr>
                    <w:spacing w:after="0" w:line="240" w:lineRule="auto"/>
                    <w:rPr>
                      <w:rFonts w:ascii="Calibri" w:hAnsi="Calibri"/>
                      <w:color w:val="000000"/>
                      <w:sz w:val="18"/>
                      <w:lang w:eastAsia="en-AU"/>
                    </w:rPr>
                  </w:pPr>
                </w:p>
              </w:tc>
              <w:tc>
                <w:tcPr>
                  <w:tcW w:w="712" w:type="dxa"/>
                  <w:tcBorders>
                    <w:top w:val="nil"/>
                    <w:left w:val="nil"/>
                    <w:bottom w:val="single" w:sz="4" w:space="0" w:color="auto"/>
                    <w:right w:val="single" w:sz="4" w:space="0" w:color="auto"/>
                  </w:tcBorders>
                  <w:shd w:val="clear" w:color="auto" w:fill="auto"/>
                  <w:noWrap/>
                  <w:vAlign w:val="bottom"/>
                </w:tcPr>
                <w:p w14:paraId="37965B1C" w14:textId="77777777" w:rsidR="00130397" w:rsidRPr="00E2117E" w:rsidRDefault="00130397" w:rsidP="00130397">
                  <w:pPr>
                    <w:spacing w:after="0" w:line="240" w:lineRule="auto"/>
                    <w:rPr>
                      <w:rFonts w:ascii="Calibri" w:hAnsi="Calibri"/>
                      <w:color w:val="000000"/>
                      <w:sz w:val="18"/>
                      <w:lang w:eastAsia="en-AU"/>
                    </w:rPr>
                  </w:pPr>
                </w:p>
              </w:tc>
              <w:tc>
                <w:tcPr>
                  <w:tcW w:w="912" w:type="dxa"/>
                  <w:tcBorders>
                    <w:top w:val="nil"/>
                    <w:left w:val="nil"/>
                    <w:bottom w:val="single" w:sz="4" w:space="0" w:color="auto"/>
                    <w:right w:val="single" w:sz="4" w:space="0" w:color="auto"/>
                  </w:tcBorders>
                  <w:shd w:val="clear" w:color="auto" w:fill="auto"/>
                  <w:noWrap/>
                  <w:vAlign w:val="bottom"/>
                </w:tcPr>
                <w:p w14:paraId="1E3217A4" w14:textId="77777777" w:rsidR="00130397" w:rsidRPr="00E2117E" w:rsidRDefault="00130397" w:rsidP="00130397">
                  <w:pPr>
                    <w:spacing w:after="0" w:line="240" w:lineRule="auto"/>
                    <w:rPr>
                      <w:rFonts w:ascii="Calibri" w:hAnsi="Calibri"/>
                      <w:color w:val="000000"/>
                      <w:sz w:val="18"/>
                      <w:lang w:eastAsia="en-AU"/>
                    </w:rPr>
                  </w:pPr>
                </w:p>
              </w:tc>
              <w:tc>
                <w:tcPr>
                  <w:tcW w:w="1068" w:type="dxa"/>
                  <w:tcBorders>
                    <w:top w:val="nil"/>
                    <w:left w:val="nil"/>
                    <w:bottom w:val="single" w:sz="4" w:space="0" w:color="auto"/>
                    <w:right w:val="single" w:sz="4" w:space="0" w:color="auto"/>
                  </w:tcBorders>
                  <w:shd w:val="clear" w:color="auto" w:fill="auto"/>
                  <w:noWrap/>
                  <w:vAlign w:val="bottom"/>
                </w:tcPr>
                <w:p w14:paraId="02C1B996" w14:textId="77777777" w:rsidR="00130397" w:rsidRPr="00E2117E" w:rsidRDefault="00130397" w:rsidP="00130397">
                  <w:pPr>
                    <w:spacing w:after="0" w:line="240" w:lineRule="auto"/>
                    <w:rPr>
                      <w:rFonts w:ascii="Calibri" w:hAnsi="Calibri"/>
                      <w:color w:val="000000"/>
                      <w:sz w:val="18"/>
                      <w:lang w:eastAsia="en-AU"/>
                    </w:rPr>
                  </w:pPr>
                </w:p>
              </w:tc>
              <w:tc>
                <w:tcPr>
                  <w:tcW w:w="1068" w:type="dxa"/>
                  <w:tcBorders>
                    <w:top w:val="nil"/>
                    <w:left w:val="nil"/>
                    <w:bottom w:val="single" w:sz="4" w:space="0" w:color="auto"/>
                    <w:right w:val="single" w:sz="4" w:space="0" w:color="auto"/>
                  </w:tcBorders>
                  <w:shd w:val="clear" w:color="auto" w:fill="auto"/>
                  <w:noWrap/>
                  <w:vAlign w:val="bottom"/>
                </w:tcPr>
                <w:p w14:paraId="5CF95C26" w14:textId="77777777" w:rsidR="00130397" w:rsidRPr="00E2117E" w:rsidRDefault="00130397" w:rsidP="00130397">
                  <w:pPr>
                    <w:spacing w:after="0" w:line="240" w:lineRule="auto"/>
                    <w:rPr>
                      <w:rFonts w:ascii="Calibri" w:hAnsi="Calibri"/>
                      <w:color w:val="000000"/>
                      <w:sz w:val="18"/>
                      <w:lang w:eastAsia="en-AU"/>
                    </w:rPr>
                  </w:pPr>
                </w:p>
              </w:tc>
              <w:tc>
                <w:tcPr>
                  <w:tcW w:w="711" w:type="dxa"/>
                  <w:tcBorders>
                    <w:top w:val="nil"/>
                    <w:left w:val="nil"/>
                    <w:bottom w:val="single" w:sz="4" w:space="0" w:color="auto"/>
                    <w:right w:val="single" w:sz="4" w:space="0" w:color="auto"/>
                  </w:tcBorders>
                  <w:shd w:val="clear" w:color="auto" w:fill="auto"/>
                  <w:noWrap/>
                  <w:vAlign w:val="bottom"/>
                </w:tcPr>
                <w:p w14:paraId="65510189" w14:textId="77777777" w:rsidR="00130397" w:rsidRPr="00E2117E" w:rsidRDefault="00130397" w:rsidP="00130397">
                  <w:pPr>
                    <w:spacing w:after="0" w:line="240" w:lineRule="auto"/>
                    <w:rPr>
                      <w:rFonts w:ascii="Calibri" w:hAnsi="Calibri"/>
                      <w:color w:val="000000"/>
                      <w:sz w:val="18"/>
                      <w:lang w:eastAsia="en-AU"/>
                    </w:rPr>
                  </w:pPr>
                </w:p>
              </w:tc>
              <w:tc>
                <w:tcPr>
                  <w:tcW w:w="912" w:type="dxa"/>
                  <w:tcBorders>
                    <w:top w:val="nil"/>
                    <w:left w:val="nil"/>
                    <w:bottom w:val="single" w:sz="4" w:space="0" w:color="auto"/>
                    <w:right w:val="single" w:sz="4" w:space="0" w:color="auto"/>
                  </w:tcBorders>
                  <w:shd w:val="clear" w:color="auto" w:fill="auto"/>
                  <w:noWrap/>
                  <w:vAlign w:val="bottom"/>
                </w:tcPr>
                <w:p w14:paraId="6FB4CC8B" w14:textId="77777777" w:rsidR="00130397" w:rsidRPr="00E2117E" w:rsidRDefault="00130397" w:rsidP="00130397">
                  <w:pPr>
                    <w:spacing w:after="0" w:line="240" w:lineRule="auto"/>
                    <w:rPr>
                      <w:rFonts w:ascii="Calibri" w:hAnsi="Calibri"/>
                      <w:color w:val="000000"/>
                      <w:sz w:val="18"/>
                      <w:lang w:eastAsia="en-AU"/>
                    </w:rPr>
                  </w:pPr>
                </w:p>
              </w:tc>
              <w:tc>
                <w:tcPr>
                  <w:tcW w:w="984" w:type="dxa"/>
                  <w:tcBorders>
                    <w:top w:val="nil"/>
                    <w:left w:val="nil"/>
                    <w:bottom w:val="single" w:sz="4" w:space="0" w:color="auto"/>
                    <w:right w:val="single" w:sz="4" w:space="0" w:color="auto"/>
                  </w:tcBorders>
                  <w:shd w:val="clear" w:color="auto" w:fill="auto"/>
                  <w:noWrap/>
                  <w:vAlign w:val="bottom"/>
                </w:tcPr>
                <w:p w14:paraId="0617E04B" w14:textId="77777777" w:rsidR="00130397" w:rsidRPr="00E2117E" w:rsidRDefault="00130397" w:rsidP="00130397">
                  <w:pPr>
                    <w:spacing w:after="0" w:line="240" w:lineRule="auto"/>
                    <w:rPr>
                      <w:rFonts w:ascii="Calibri" w:hAnsi="Calibri"/>
                      <w:color w:val="000000"/>
                      <w:sz w:val="18"/>
                      <w:lang w:eastAsia="en-AU"/>
                    </w:rPr>
                  </w:pPr>
                </w:p>
              </w:tc>
              <w:tc>
                <w:tcPr>
                  <w:tcW w:w="750" w:type="dxa"/>
                  <w:tcBorders>
                    <w:top w:val="nil"/>
                    <w:left w:val="nil"/>
                    <w:bottom w:val="single" w:sz="4" w:space="0" w:color="auto"/>
                    <w:right w:val="single" w:sz="4" w:space="0" w:color="auto"/>
                  </w:tcBorders>
                  <w:shd w:val="clear" w:color="auto" w:fill="auto"/>
                  <w:noWrap/>
                  <w:vAlign w:val="bottom"/>
                </w:tcPr>
                <w:p w14:paraId="5D045105" w14:textId="77777777" w:rsidR="00130397" w:rsidRPr="00E2117E" w:rsidRDefault="00130397" w:rsidP="00130397">
                  <w:pPr>
                    <w:spacing w:after="0" w:line="240" w:lineRule="auto"/>
                    <w:rPr>
                      <w:rFonts w:ascii="Calibri" w:hAnsi="Calibri"/>
                      <w:color w:val="000000"/>
                      <w:sz w:val="18"/>
                      <w:lang w:eastAsia="en-AU"/>
                    </w:rPr>
                  </w:pPr>
                </w:p>
              </w:tc>
            </w:tr>
          </w:tbl>
          <w:p w14:paraId="1DF12AB1" w14:textId="77777777" w:rsidR="00130397" w:rsidRPr="000521D7" w:rsidRDefault="00130397" w:rsidP="00130397">
            <w:pPr>
              <w:tabs>
                <w:tab w:val="left" w:pos="660"/>
                <w:tab w:val="right" w:leader="dot" w:pos="9063"/>
              </w:tabs>
              <w:spacing w:before="100" w:beforeAutospacing="1" w:after="100" w:afterAutospacing="1" w:line="0" w:lineRule="atLeast"/>
              <w:rPr>
                <w:b/>
                <w:noProof/>
              </w:rPr>
            </w:pPr>
          </w:p>
        </w:tc>
      </w:tr>
    </w:tbl>
    <w:p w14:paraId="33780236" w14:textId="77777777" w:rsidR="00130397" w:rsidRDefault="00130397" w:rsidP="00130397"/>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tblGrid>
      <w:tr w:rsidR="00130397" w:rsidRPr="0078016A" w14:paraId="0B453AEF" w14:textId="77777777" w:rsidTr="00130397">
        <w:trPr>
          <w:tblHeader/>
        </w:trPr>
        <w:tc>
          <w:tcPr>
            <w:tcW w:w="10632" w:type="dxa"/>
            <w:shd w:val="clear" w:color="auto" w:fill="F3F3F3"/>
          </w:tcPr>
          <w:p w14:paraId="1DF997E7" w14:textId="77777777" w:rsidR="00130397" w:rsidRPr="0078016A" w:rsidRDefault="00130397" w:rsidP="00130397">
            <w:pPr>
              <w:pStyle w:val="Subhead1"/>
              <w:tabs>
                <w:tab w:val="left" w:pos="660"/>
                <w:tab w:val="right" w:leader="dot" w:pos="9063"/>
              </w:tabs>
              <w:spacing w:before="0" w:after="100" w:afterAutospacing="1" w:line="240" w:lineRule="auto"/>
              <w:rPr>
                <w:b/>
                <w:color w:val="0A3A6E"/>
              </w:rPr>
            </w:pPr>
            <w:r>
              <w:rPr>
                <w:b/>
                <w:color w:val="0A3A6E"/>
              </w:rPr>
              <w:t>Proposed New Funded</w:t>
            </w:r>
            <w:r w:rsidRPr="0078016A">
              <w:rPr>
                <w:b/>
                <w:color w:val="0A3A6E"/>
              </w:rPr>
              <w:t xml:space="preserve"> Staff Plan </w:t>
            </w:r>
            <w:r w:rsidRPr="0078016A">
              <w:rPr>
                <w:b/>
                <w:color w:val="0A3A6E"/>
                <w:sz w:val="20"/>
                <w:szCs w:val="20"/>
              </w:rPr>
              <w:t>(</w:t>
            </w:r>
            <w:r>
              <w:rPr>
                <w:b/>
                <w:color w:val="0A3A6E"/>
                <w:sz w:val="20"/>
                <w:szCs w:val="20"/>
              </w:rPr>
              <w:t>positions to be added</w:t>
            </w:r>
            <w:r w:rsidRPr="0078016A">
              <w:rPr>
                <w:b/>
                <w:color w:val="0A3A6E"/>
                <w:sz w:val="20"/>
                <w:szCs w:val="20"/>
              </w:rPr>
              <w:t>)</w:t>
            </w:r>
          </w:p>
        </w:tc>
      </w:tr>
      <w:tr w:rsidR="00130397" w:rsidRPr="000521D7" w14:paraId="66DF6557" w14:textId="77777777" w:rsidTr="00130397">
        <w:trPr>
          <w:trHeight w:val="2140"/>
          <w:tblHeader/>
        </w:trPr>
        <w:tc>
          <w:tcPr>
            <w:tcW w:w="10632" w:type="dxa"/>
            <w:shd w:val="clear" w:color="auto" w:fill="auto"/>
          </w:tcPr>
          <w:tbl>
            <w:tblPr>
              <w:tblW w:w="10130" w:type="dxa"/>
              <w:tblInd w:w="40" w:type="dxa"/>
              <w:tblLook w:val="04A0" w:firstRow="1" w:lastRow="0" w:firstColumn="1" w:lastColumn="0" w:noHBand="0" w:noVBand="1"/>
            </w:tblPr>
            <w:tblGrid>
              <w:gridCol w:w="1363"/>
              <w:gridCol w:w="825"/>
              <w:gridCol w:w="825"/>
              <w:gridCol w:w="712"/>
              <w:gridCol w:w="912"/>
              <w:gridCol w:w="1068"/>
              <w:gridCol w:w="1068"/>
              <w:gridCol w:w="711"/>
              <w:gridCol w:w="912"/>
              <w:gridCol w:w="984"/>
              <w:gridCol w:w="750"/>
            </w:tblGrid>
            <w:tr w:rsidR="00130397" w:rsidRPr="00E2117E" w14:paraId="1812FAEE" w14:textId="77777777" w:rsidTr="00130397">
              <w:trPr>
                <w:trHeight w:val="288"/>
              </w:trPr>
              <w:tc>
                <w:tcPr>
                  <w:tcW w:w="1363" w:type="dxa"/>
                  <w:tcBorders>
                    <w:top w:val="nil"/>
                    <w:left w:val="nil"/>
                    <w:bottom w:val="nil"/>
                    <w:right w:val="nil"/>
                  </w:tcBorders>
                  <w:shd w:val="clear" w:color="auto" w:fill="auto"/>
                  <w:noWrap/>
                  <w:vAlign w:val="bottom"/>
                  <w:hideMark/>
                </w:tcPr>
                <w:p w14:paraId="79F29745" w14:textId="77777777" w:rsidR="00130397" w:rsidRPr="00E2117E" w:rsidRDefault="00130397" w:rsidP="00130397">
                  <w:pPr>
                    <w:spacing w:after="0" w:line="240" w:lineRule="auto"/>
                    <w:rPr>
                      <w:rFonts w:ascii="Times New Roman" w:hAnsi="Times New Roman"/>
                      <w:sz w:val="18"/>
                      <w:lang w:eastAsia="en-AU"/>
                    </w:rPr>
                  </w:pPr>
                </w:p>
              </w:tc>
              <w:tc>
                <w:tcPr>
                  <w:tcW w:w="82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A237F6" w14:textId="77777777" w:rsidR="00130397" w:rsidRPr="00E2117E" w:rsidRDefault="00130397" w:rsidP="00130397">
                  <w:pPr>
                    <w:spacing w:after="0" w:line="240" w:lineRule="auto"/>
                    <w:rPr>
                      <w:rFonts w:ascii="Calibri" w:hAnsi="Calibri"/>
                      <w:b/>
                      <w:bCs/>
                      <w:color w:val="000000"/>
                      <w:sz w:val="18"/>
                      <w:lang w:eastAsia="en-AU"/>
                    </w:rPr>
                  </w:pPr>
                  <w:r w:rsidRPr="00E2117E">
                    <w:rPr>
                      <w:rFonts w:ascii="Calibri" w:hAnsi="Calibri"/>
                      <w:b/>
                      <w:bCs/>
                      <w:color w:val="000000"/>
                      <w:sz w:val="18"/>
                      <w:lang w:eastAsia="en-AU"/>
                    </w:rPr>
                    <w:t>Total FTE:</w:t>
                  </w:r>
                </w:p>
              </w:tc>
              <w:tc>
                <w:tcPr>
                  <w:tcW w:w="825" w:type="dxa"/>
                  <w:tcBorders>
                    <w:top w:val="single" w:sz="4" w:space="0" w:color="auto"/>
                    <w:left w:val="nil"/>
                    <w:bottom w:val="single" w:sz="4" w:space="0" w:color="auto"/>
                    <w:right w:val="single" w:sz="4" w:space="0" w:color="auto"/>
                  </w:tcBorders>
                  <w:shd w:val="clear" w:color="000000" w:fill="F2F2F2"/>
                  <w:noWrap/>
                  <w:vAlign w:val="bottom"/>
                  <w:hideMark/>
                </w:tcPr>
                <w:p w14:paraId="6C49C8FB" w14:textId="77777777" w:rsidR="00130397" w:rsidRPr="00E2117E" w:rsidRDefault="00130397" w:rsidP="00130397">
                  <w:pPr>
                    <w:spacing w:after="0" w:line="240" w:lineRule="auto"/>
                    <w:jc w:val="right"/>
                    <w:rPr>
                      <w:rFonts w:ascii="Calibri" w:hAnsi="Calibri"/>
                      <w:b/>
                      <w:bCs/>
                      <w:color w:val="000000"/>
                      <w:sz w:val="18"/>
                      <w:lang w:eastAsia="en-AU"/>
                    </w:rPr>
                  </w:pPr>
                  <w:r w:rsidRPr="00E2117E">
                    <w:rPr>
                      <w:rFonts w:ascii="Calibri" w:hAnsi="Calibri"/>
                      <w:b/>
                      <w:bCs/>
                      <w:color w:val="000000"/>
                      <w:sz w:val="18"/>
                      <w:lang w:eastAsia="en-AU"/>
                    </w:rPr>
                    <w:t>0</w:t>
                  </w:r>
                </w:p>
              </w:tc>
              <w:tc>
                <w:tcPr>
                  <w:tcW w:w="712" w:type="dxa"/>
                  <w:tcBorders>
                    <w:top w:val="single" w:sz="4" w:space="0" w:color="auto"/>
                    <w:left w:val="nil"/>
                    <w:bottom w:val="single" w:sz="4" w:space="0" w:color="auto"/>
                    <w:right w:val="single" w:sz="4" w:space="0" w:color="auto"/>
                  </w:tcBorders>
                  <w:shd w:val="clear" w:color="000000" w:fill="F2F2F2"/>
                  <w:noWrap/>
                  <w:vAlign w:val="bottom"/>
                  <w:hideMark/>
                </w:tcPr>
                <w:p w14:paraId="65B0459C" w14:textId="77777777" w:rsidR="00130397" w:rsidRPr="00E2117E" w:rsidRDefault="00130397" w:rsidP="00130397">
                  <w:pPr>
                    <w:spacing w:after="0" w:line="240" w:lineRule="auto"/>
                    <w:rPr>
                      <w:rFonts w:ascii="Calibri" w:hAnsi="Calibri"/>
                      <w:b/>
                      <w:bCs/>
                      <w:color w:val="000000"/>
                      <w:sz w:val="18"/>
                      <w:lang w:eastAsia="en-AU"/>
                    </w:rPr>
                  </w:pPr>
                  <w:r w:rsidRPr="00E2117E">
                    <w:rPr>
                      <w:rFonts w:ascii="Calibri" w:hAnsi="Calibri"/>
                      <w:b/>
                      <w:bCs/>
                      <w:color w:val="000000"/>
                      <w:sz w:val="18"/>
                      <w:lang w:eastAsia="en-AU"/>
                    </w:rPr>
                    <w:t xml:space="preserve"> $</w:t>
                  </w:r>
                </w:p>
              </w:tc>
              <w:tc>
                <w:tcPr>
                  <w:tcW w:w="912" w:type="dxa"/>
                  <w:tcBorders>
                    <w:top w:val="single" w:sz="4" w:space="0" w:color="auto"/>
                    <w:left w:val="nil"/>
                    <w:bottom w:val="single" w:sz="4" w:space="0" w:color="auto"/>
                    <w:right w:val="single" w:sz="4" w:space="0" w:color="auto"/>
                  </w:tcBorders>
                  <w:shd w:val="clear" w:color="000000" w:fill="F2F2F2"/>
                  <w:noWrap/>
                  <w:vAlign w:val="bottom"/>
                  <w:hideMark/>
                </w:tcPr>
                <w:p w14:paraId="366B5866" w14:textId="77777777" w:rsidR="00130397" w:rsidRPr="00E2117E" w:rsidRDefault="00130397" w:rsidP="00130397">
                  <w:pPr>
                    <w:spacing w:after="0" w:line="240" w:lineRule="auto"/>
                    <w:rPr>
                      <w:rFonts w:ascii="Calibri" w:hAnsi="Calibri"/>
                      <w:b/>
                      <w:bCs/>
                      <w:color w:val="000000"/>
                      <w:sz w:val="18"/>
                      <w:lang w:eastAsia="en-AU"/>
                    </w:rPr>
                  </w:pPr>
                  <w:r w:rsidRPr="00E2117E">
                    <w:rPr>
                      <w:rFonts w:ascii="Calibri" w:hAnsi="Calibri"/>
                      <w:b/>
                      <w:bCs/>
                      <w:color w:val="000000"/>
                      <w:sz w:val="18"/>
                      <w:lang w:eastAsia="en-AU"/>
                    </w:rPr>
                    <w:t xml:space="preserve"> $</w:t>
                  </w:r>
                </w:p>
              </w:tc>
              <w:tc>
                <w:tcPr>
                  <w:tcW w:w="1068" w:type="dxa"/>
                  <w:tcBorders>
                    <w:top w:val="single" w:sz="4" w:space="0" w:color="auto"/>
                    <w:left w:val="nil"/>
                    <w:bottom w:val="single" w:sz="4" w:space="0" w:color="auto"/>
                    <w:right w:val="single" w:sz="4" w:space="0" w:color="auto"/>
                  </w:tcBorders>
                  <w:shd w:val="clear" w:color="000000" w:fill="F2F2F2"/>
                  <w:noWrap/>
                  <w:vAlign w:val="bottom"/>
                  <w:hideMark/>
                </w:tcPr>
                <w:p w14:paraId="4F2B1C04" w14:textId="77777777" w:rsidR="00130397" w:rsidRPr="00E2117E" w:rsidRDefault="00130397" w:rsidP="00130397">
                  <w:pPr>
                    <w:spacing w:after="0" w:line="240" w:lineRule="auto"/>
                    <w:rPr>
                      <w:rFonts w:ascii="Calibri" w:hAnsi="Calibri"/>
                      <w:b/>
                      <w:bCs/>
                      <w:color w:val="000000"/>
                      <w:sz w:val="18"/>
                      <w:lang w:eastAsia="en-AU"/>
                    </w:rPr>
                  </w:pPr>
                  <w:r w:rsidRPr="00E2117E">
                    <w:rPr>
                      <w:rFonts w:ascii="Calibri" w:hAnsi="Calibri"/>
                      <w:b/>
                      <w:bCs/>
                      <w:color w:val="000000"/>
                      <w:sz w:val="18"/>
                      <w:lang w:eastAsia="en-AU"/>
                    </w:rPr>
                    <w:t xml:space="preserve"> $</w:t>
                  </w:r>
                </w:p>
              </w:tc>
              <w:tc>
                <w:tcPr>
                  <w:tcW w:w="1068" w:type="dxa"/>
                  <w:tcBorders>
                    <w:top w:val="single" w:sz="4" w:space="0" w:color="auto"/>
                    <w:left w:val="nil"/>
                    <w:bottom w:val="single" w:sz="4" w:space="0" w:color="auto"/>
                    <w:right w:val="single" w:sz="4" w:space="0" w:color="auto"/>
                  </w:tcBorders>
                  <w:shd w:val="clear" w:color="000000" w:fill="F2F2F2"/>
                  <w:noWrap/>
                  <w:vAlign w:val="bottom"/>
                  <w:hideMark/>
                </w:tcPr>
                <w:p w14:paraId="43DEB2EC" w14:textId="77777777" w:rsidR="00130397" w:rsidRPr="00E2117E" w:rsidRDefault="00130397" w:rsidP="00130397">
                  <w:pPr>
                    <w:spacing w:after="0" w:line="240" w:lineRule="auto"/>
                    <w:rPr>
                      <w:rFonts w:ascii="Calibri" w:hAnsi="Calibri"/>
                      <w:b/>
                      <w:bCs/>
                      <w:color w:val="000000"/>
                      <w:sz w:val="18"/>
                      <w:lang w:eastAsia="en-AU"/>
                    </w:rPr>
                  </w:pPr>
                  <w:r w:rsidRPr="00E2117E">
                    <w:rPr>
                      <w:rFonts w:ascii="Calibri" w:hAnsi="Calibri"/>
                      <w:b/>
                      <w:bCs/>
                      <w:color w:val="000000"/>
                      <w:sz w:val="18"/>
                      <w:lang w:eastAsia="en-AU"/>
                    </w:rPr>
                    <w:t xml:space="preserve"> $</w:t>
                  </w:r>
                </w:p>
              </w:tc>
              <w:tc>
                <w:tcPr>
                  <w:tcW w:w="711" w:type="dxa"/>
                  <w:tcBorders>
                    <w:top w:val="single" w:sz="4" w:space="0" w:color="auto"/>
                    <w:left w:val="nil"/>
                    <w:bottom w:val="single" w:sz="4" w:space="0" w:color="auto"/>
                    <w:right w:val="single" w:sz="4" w:space="0" w:color="auto"/>
                  </w:tcBorders>
                  <w:shd w:val="clear" w:color="000000" w:fill="F2F2F2"/>
                  <w:noWrap/>
                  <w:vAlign w:val="bottom"/>
                  <w:hideMark/>
                </w:tcPr>
                <w:p w14:paraId="5182F009" w14:textId="77777777" w:rsidR="00130397" w:rsidRPr="00E2117E" w:rsidRDefault="00130397" w:rsidP="00130397">
                  <w:pPr>
                    <w:spacing w:after="0" w:line="240" w:lineRule="auto"/>
                    <w:rPr>
                      <w:rFonts w:ascii="Calibri" w:hAnsi="Calibri"/>
                      <w:b/>
                      <w:bCs/>
                      <w:color w:val="000000"/>
                      <w:sz w:val="18"/>
                      <w:lang w:eastAsia="en-AU"/>
                    </w:rPr>
                  </w:pPr>
                  <w:r w:rsidRPr="00E2117E">
                    <w:rPr>
                      <w:rFonts w:ascii="Calibri" w:hAnsi="Calibri"/>
                      <w:b/>
                      <w:bCs/>
                      <w:color w:val="000000"/>
                      <w:sz w:val="18"/>
                      <w:lang w:eastAsia="en-AU"/>
                    </w:rPr>
                    <w:t xml:space="preserve"> $</w:t>
                  </w:r>
                </w:p>
              </w:tc>
              <w:tc>
                <w:tcPr>
                  <w:tcW w:w="912" w:type="dxa"/>
                  <w:tcBorders>
                    <w:top w:val="single" w:sz="4" w:space="0" w:color="auto"/>
                    <w:left w:val="nil"/>
                    <w:bottom w:val="single" w:sz="4" w:space="0" w:color="auto"/>
                    <w:right w:val="single" w:sz="4" w:space="0" w:color="auto"/>
                  </w:tcBorders>
                  <w:shd w:val="clear" w:color="000000" w:fill="F2F2F2"/>
                  <w:noWrap/>
                  <w:vAlign w:val="bottom"/>
                  <w:hideMark/>
                </w:tcPr>
                <w:p w14:paraId="273F5D1E" w14:textId="77777777" w:rsidR="00130397" w:rsidRPr="00E2117E" w:rsidRDefault="00130397" w:rsidP="00130397">
                  <w:pPr>
                    <w:spacing w:after="0" w:line="240" w:lineRule="auto"/>
                    <w:rPr>
                      <w:rFonts w:ascii="Calibri" w:hAnsi="Calibri"/>
                      <w:b/>
                      <w:bCs/>
                      <w:color w:val="000000"/>
                      <w:sz w:val="18"/>
                      <w:lang w:eastAsia="en-AU"/>
                    </w:rPr>
                  </w:pPr>
                  <w:r w:rsidRPr="00E2117E">
                    <w:rPr>
                      <w:rFonts w:ascii="Calibri" w:hAnsi="Calibri"/>
                      <w:b/>
                      <w:bCs/>
                      <w:color w:val="000000"/>
                      <w:sz w:val="18"/>
                      <w:lang w:eastAsia="en-AU"/>
                    </w:rPr>
                    <w:t xml:space="preserve"> $</w:t>
                  </w:r>
                </w:p>
              </w:tc>
              <w:tc>
                <w:tcPr>
                  <w:tcW w:w="984" w:type="dxa"/>
                  <w:tcBorders>
                    <w:top w:val="single" w:sz="4" w:space="0" w:color="auto"/>
                    <w:left w:val="nil"/>
                    <w:bottom w:val="single" w:sz="4" w:space="0" w:color="auto"/>
                    <w:right w:val="single" w:sz="4" w:space="0" w:color="auto"/>
                  </w:tcBorders>
                  <w:shd w:val="clear" w:color="000000" w:fill="F2F2F2"/>
                  <w:noWrap/>
                  <w:vAlign w:val="bottom"/>
                  <w:hideMark/>
                </w:tcPr>
                <w:p w14:paraId="44E40531" w14:textId="77777777" w:rsidR="00130397" w:rsidRPr="00E2117E" w:rsidRDefault="00130397" w:rsidP="00130397">
                  <w:pPr>
                    <w:spacing w:after="0" w:line="240" w:lineRule="auto"/>
                    <w:rPr>
                      <w:rFonts w:ascii="Calibri" w:hAnsi="Calibri"/>
                      <w:b/>
                      <w:bCs/>
                      <w:color w:val="000000"/>
                      <w:sz w:val="18"/>
                      <w:lang w:eastAsia="en-AU"/>
                    </w:rPr>
                  </w:pPr>
                  <w:r w:rsidRPr="00E2117E">
                    <w:rPr>
                      <w:rFonts w:ascii="Calibri" w:hAnsi="Calibri"/>
                      <w:b/>
                      <w:bCs/>
                      <w:color w:val="000000"/>
                      <w:sz w:val="18"/>
                      <w:lang w:eastAsia="en-AU"/>
                    </w:rPr>
                    <w:t xml:space="preserve"> $          -   </w:t>
                  </w:r>
                </w:p>
              </w:tc>
              <w:tc>
                <w:tcPr>
                  <w:tcW w:w="750" w:type="dxa"/>
                  <w:tcBorders>
                    <w:top w:val="single" w:sz="4" w:space="0" w:color="auto"/>
                    <w:left w:val="nil"/>
                    <w:bottom w:val="single" w:sz="4" w:space="0" w:color="auto"/>
                    <w:right w:val="single" w:sz="4" w:space="0" w:color="auto"/>
                  </w:tcBorders>
                  <w:shd w:val="clear" w:color="000000" w:fill="F2F2F2"/>
                  <w:noWrap/>
                  <w:vAlign w:val="bottom"/>
                  <w:hideMark/>
                </w:tcPr>
                <w:p w14:paraId="7AA7F29A" w14:textId="77777777" w:rsidR="00130397" w:rsidRPr="00E2117E" w:rsidRDefault="00130397" w:rsidP="00130397">
                  <w:pPr>
                    <w:spacing w:after="0" w:line="240" w:lineRule="auto"/>
                    <w:rPr>
                      <w:rFonts w:ascii="Calibri" w:hAnsi="Calibri"/>
                      <w:b/>
                      <w:bCs/>
                      <w:color w:val="000000"/>
                      <w:sz w:val="18"/>
                      <w:lang w:eastAsia="en-AU"/>
                    </w:rPr>
                  </w:pPr>
                  <w:r w:rsidRPr="00E2117E">
                    <w:rPr>
                      <w:rFonts w:ascii="Calibri" w:hAnsi="Calibri"/>
                      <w:b/>
                      <w:bCs/>
                      <w:color w:val="000000"/>
                      <w:sz w:val="18"/>
                      <w:lang w:eastAsia="en-AU"/>
                    </w:rPr>
                    <w:t xml:space="preserve"> $          -   </w:t>
                  </w:r>
                </w:p>
              </w:tc>
            </w:tr>
            <w:tr w:rsidR="00130397" w:rsidRPr="00E2117E" w14:paraId="59EA2B1F" w14:textId="77777777" w:rsidTr="00130397">
              <w:trPr>
                <w:trHeight w:val="864"/>
              </w:trPr>
              <w:tc>
                <w:tcPr>
                  <w:tcW w:w="1363" w:type="dxa"/>
                  <w:tcBorders>
                    <w:top w:val="single" w:sz="4" w:space="0" w:color="auto"/>
                    <w:left w:val="nil"/>
                    <w:bottom w:val="single" w:sz="4" w:space="0" w:color="auto"/>
                    <w:right w:val="single" w:sz="4" w:space="0" w:color="auto"/>
                  </w:tcBorders>
                  <w:shd w:val="clear" w:color="000000" w:fill="BFBFBF"/>
                  <w:vAlign w:val="bottom"/>
                  <w:hideMark/>
                </w:tcPr>
                <w:p w14:paraId="2B312F0A" w14:textId="77777777" w:rsidR="00130397" w:rsidRPr="0078016A" w:rsidRDefault="00130397" w:rsidP="00130397">
                  <w:pPr>
                    <w:spacing w:after="0" w:line="240" w:lineRule="auto"/>
                    <w:rPr>
                      <w:rFonts w:ascii="Calibri" w:hAnsi="Calibri"/>
                      <w:b/>
                      <w:bCs/>
                      <w:color w:val="000000"/>
                      <w:sz w:val="18"/>
                      <w:highlight w:val="lightGray"/>
                      <w:lang w:eastAsia="en-AU"/>
                    </w:rPr>
                  </w:pPr>
                  <w:r w:rsidRPr="0078016A">
                    <w:rPr>
                      <w:rFonts w:ascii="Calibri" w:hAnsi="Calibri"/>
                      <w:b/>
                      <w:bCs/>
                      <w:color w:val="000000"/>
                      <w:sz w:val="18"/>
                      <w:highlight w:val="lightGray"/>
                      <w:lang w:eastAsia="en-AU"/>
                    </w:rPr>
                    <w:t>Position Grade</w:t>
                  </w:r>
                </w:p>
              </w:tc>
              <w:tc>
                <w:tcPr>
                  <w:tcW w:w="825" w:type="dxa"/>
                  <w:tcBorders>
                    <w:top w:val="nil"/>
                    <w:left w:val="nil"/>
                    <w:bottom w:val="single" w:sz="4" w:space="0" w:color="auto"/>
                    <w:right w:val="single" w:sz="4" w:space="0" w:color="auto"/>
                  </w:tcBorders>
                  <w:shd w:val="clear" w:color="000000" w:fill="BFBFBF"/>
                  <w:vAlign w:val="bottom"/>
                  <w:hideMark/>
                </w:tcPr>
                <w:p w14:paraId="18E65D6A" w14:textId="77777777" w:rsidR="00130397" w:rsidRPr="0078016A" w:rsidRDefault="00130397" w:rsidP="00130397">
                  <w:pPr>
                    <w:spacing w:after="0" w:line="240" w:lineRule="auto"/>
                    <w:rPr>
                      <w:rFonts w:ascii="Calibri" w:hAnsi="Calibri"/>
                      <w:b/>
                      <w:bCs/>
                      <w:color w:val="000000"/>
                      <w:sz w:val="18"/>
                      <w:highlight w:val="lightGray"/>
                      <w:lang w:eastAsia="en-AU"/>
                    </w:rPr>
                  </w:pPr>
                  <w:r w:rsidRPr="0078016A">
                    <w:rPr>
                      <w:rFonts w:ascii="Calibri" w:hAnsi="Calibri"/>
                      <w:b/>
                      <w:bCs/>
                      <w:color w:val="000000"/>
                      <w:sz w:val="18"/>
                      <w:highlight w:val="lightGray"/>
                      <w:lang w:eastAsia="en-AU"/>
                    </w:rPr>
                    <w:t>Position Grade Year</w:t>
                  </w:r>
                </w:p>
              </w:tc>
              <w:tc>
                <w:tcPr>
                  <w:tcW w:w="825" w:type="dxa"/>
                  <w:tcBorders>
                    <w:top w:val="nil"/>
                    <w:left w:val="nil"/>
                    <w:bottom w:val="single" w:sz="4" w:space="0" w:color="auto"/>
                    <w:right w:val="single" w:sz="4" w:space="0" w:color="auto"/>
                  </w:tcBorders>
                  <w:shd w:val="clear" w:color="000000" w:fill="BFBFBF"/>
                  <w:vAlign w:val="bottom"/>
                  <w:hideMark/>
                </w:tcPr>
                <w:p w14:paraId="589A699F" w14:textId="77777777" w:rsidR="00130397" w:rsidRPr="0078016A" w:rsidRDefault="00130397" w:rsidP="00130397">
                  <w:pPr>
                    <w:spacing w:after="0" w:line="240" w:lineRule="auto"/>
                    <w:rPr>
                      <w:rFonts w:ascii="Calibri" w:hAnsi="Calibri"/>
                      <w:b/>
                      <w:bCs/>
                      <w:color w:val="000000"/>
                      <w:sz w:val="18"/>
                      <w:highlight w:val="lightGray"/>
                      <w:lang w:eastAsia="en-AU"/>
                    </w:rPr>
                  </w:pPr>
                  <w:r w:rsidRPr="0078016A">
                    <w:rPr>
                      <w:rFonts w:ascii="Calibri" w:hAnsi="Calibri"/>
                      <w:b/>
                      <w:bCs/>
                      <w:color w:val="000000"/>
                      <w:sz w:val="18"/>
                      <w:highlight w:val="lightGray"/>
                      <w:lang w:eastAsia="en-AU"/>
                    </w:rPr>
                    <w:t>Total Position FTE</w:t>
                  </w:r>
                </w:p>
              </w:tc>
              <w:tc>
                <w:tcPr>
                  <w:tcW w:w="712" w:type="dxa"/>
                  <w:tcBorders>
                    <w:top w:val="nil"/>
                    <w:left w:val="nil"/>
                    <w:bottom w:val="single" w:sz="4" w:space="0" w:color="auto"/>
                    <w:right w:val="single" w:sz="4" w:space="0" w:color="auto"/>
                  </w:tcBorders>
                  <w:shd w:val="clear" w:color="000000" w:fill="BFBFBF"/>
                  <w:vAlign w:val="bottom"/>
                  <w:hideMark/>
                </w:tcPr>
                <w:p w14:paraId="36D2E8DB" w14:textId="77777777" w:rsidR="00130397" w:rsidRPr="0078016A" w:rsidRDefault="00130397" w:rsidP="00130397">
                  <w:pPr>
                    <w:spacing w:after="0" w:line="240" w:lineRule="auto"/>
                    <w:rPr>
                      <w:rFonts w:ascii="Calibri" w:hAnsi="Calibri"/>
                      <w:b/>
                      <w:bCs/>
                      <w:color w:val="000000"/>
                      <w:sz w:val="18"/>
                      <w:highlight w:val="lightGray"/>
                      <w:lang w:eastAsia="en-AU"/>
                    </w:rPr>
                  </w:pPr>
                  <w:r w:rsidRPr="0078016A">
                    <w:rPr>
                      <w:rFonts w:ascii="Calibri" w:hAnsi="Calibri"/>
                      <w:b/>
                      <w:bCs/>
                      <w:color w:val="000000"/>
                      <w:sz w:val="18"/>
                      <w:highlight w:val="lightGray"/>
                      <w:lang w:eastAsia="en-AU"/>
                    </w:rPr>
                    <w:t>Base</w:t>
                  </w:r>
                </w:p>
              </w:tc>
              <w:tc>
                <w:tcPr>
                  <w:tcW w:w="912" w:type="dxa"/>
                  <w:tcBorders>
                    <w:top w:val="nil"/>
                    <w:left w:val="nil"/>
                    <w:bottom w:val="single" w:sz="4" w:space="0" w:color="auto"/>
                    <w:right w:val="single" w:sz="4" w:space="0" w:color="auto"/>
                  </w:tcBorders>
                  <w:shd w:val="clear" w:color="000000" w:fill="BFBFBF"/>
                  <w:vAlign w:val="bottom"/>
                  <w:hideMark/>
                </w:tcPr>
                <w:p w14:paraId="543BE935" w14:textId="77777777" w:rsidR="00130397" w:rsidRPr="0078016A" w:rsidRDefault="00130397" w:rsidP="00130397">
                  <w:pPr>
                    <w:spacing w:after="0" w:line="240" w:lineRule="auto"/>
                    <w:rPr>
                      <w:rFonts w:ascii="Calibri" w:hAnsi="Calibri"/>
                      <w:b/>
                      <w:bCs/>
                      <w:color w:val="000000"/>
                      <w:sz w:val="18"/>
                      <w:highlight w:val="lightGray"/>
                      <w:lang w:eastAsia="en-AU"/>
                    </w:rPr>
                  </w:pPr>
                  <w:r w:rsidRPr="0078016A">
                    <w:rPr>
                      <w:rFonts w:ascii="Calibri" w:hAnsi="Calibri"/>
                      <w:b/>
                      <w:bCs/>
                      <w:color w:val="000000"/>
                      <w:sz w:val="18"/>
                      <w:highlight w:val="lightGray"/>
                      <w:lang w:eastAsia="en-AU"/>
                    </w:rPr>
                    <w:t>Total Annual Leave Provision</w:t>
                  </w:r>
                </w:p>
              </w:tc>
              <w:tc>
                <w:tcPr>
                  <w:tcW w:w="1068" w:type="dxa"/>
                  <w:tcBorders>
                    <w:top w:val="nil"/>
                    <w:left w:val="nil"/>
                    <w:bottom w:val="single" w:sz="4" w:space="0" w:color="auto"/>
                    <w:right w:val="single" w:sz="4" w:space="0" w:color="auto"/>
                  </w:tcBorders>
                  <w:shd w:val="clear" w:color="000000" w:fill="BFBFBF"/>
                  <w:vAlign w:val="bottom"/>
                  <w:hideMark/>
                </w:tcPr>
                <w:p w14:paraId="196E7351" w14:textId="77777777" w:rsidR="00130397" w:rsidRPr="0078016A" w:rsidRDefault="00130397" w:rsidP="00130397">
                  <w:pPr>
                    <w:spacing w:after="0" w:line="240" w:lineRule="auto"/>
                    <w:rPr>
                      <w:rFonts w:ascii="Calibri" w:hAnsi="Calibri"/>
                      <w:b/>
                      <w:bCs/>
                      <w:color w:val="000000"/>
                      <w:sz w:val="18"/>
                      <w:highlight w:val="lightGray"/>
                      <w:lang w:eastAsia="en-AU"/>
                    </w:rPr>
                  </w:pPr>
                  <w:r w:rsidRPr="0078016A">
                    <w:rPr>
                      <w:rFonts w:ascii="Calibri" w:hAnsi="Calibri"/>
                      <w:b/>
                      <w:bCs/>
                      <w:color w:val="000000"/>
                      <w:sz w:val="18"/>
                      <w:highlight w:val="lightGray"/>
                      <w:lang w:eastAsia="en-AU"/>
                    </w:rPr>
                    <w:t>Allowances [Ex Super]</w:t>
                  </w:r>
                </w:p>
              </w:tc>
              <w:tc>
                <w:tcPr>
                  <w:tcW w:w="1068" w:type="dxa"/>
                  <w:tcBorders>
                    <w:top w:val="nil"/>
                    <w:left w:val="nil"/>
                    <w:bottom w:val="single" w:sz="4" w:space="0" w:color="auto"/>
                    <w:right w:val="single" w:sz="4" w:space="0" w:color="auto"/>
                  </w:tcBorders>
                  <w:shd w:val="clear" w:color="000000" w:fill="BFBFBF"/>
                  <w:vAlign w:val="bottom"/>
                  <w:hideMark/>
                </w:tcPr>
                <w:p w14:paraId="3D4AB4D4" w14:textId="77777777" w:rsidR="00130397" w:rsidRPr="0078016A" w:rsidRDefault="00130397" w:rsidP="00130397">
                  <w:pPr>
                    <w:spacing w:after="0" w:line="240" w:lineRule="auto"/>
                    <w:rPr>
                      <w:rFonts w:ascii="Calibri" w:hAnsi="Calibri"/>
                      <w:b/>
                      <w:bCs/>
                      <w:color w:val="000000"/>
                      <w:sz w:val="18"/>
                      <w:highlight w:val="lightGray"/>
                      <w:lang w:eastAsia="en-AU"/>
                    </w:rPr>
                  </w:pPr>
                  <w:r w:rsidRPr="0078016A">
                    <w:rPr>
                      <w:rFonts w:ascii="Calibri" w:hAnsi="Calibri"/>
                      <w:b/>
                      <w:bCs/>
                      <w:color w:val="000000"/>
                      <w:sz w:val="18"/>
                      <w:highlight w:val="lightGray"/>
                      <w:lang w:eastAsia="en-AU"/>
                    </w:rPr>
                    <w:t>Allowances [Inc Super]</w:t>
                  </w:r>
                </w:p>
              </w:tc>
              <w:tc>
                <w:tcPr>
                  <w:tcW w:w="711" w:type="dxa"/>
                  <w:tcBorders>
                    <w:top w:val="nil"/>
                    <w:left w:val="nil"/>
                    <w:bottom w:val="single" w:sz="4" w:space="0" w:color="auto"/>
                    <w:right w:val="single" w:sz="4" w:space="0" w:color="auto"/>
                  </w:tcBorders>
                  <w:shd w:val="clear" w:color="000000" w:fill="BFBFBF"/>
                  <w:vAlign w:val="bottom"/>
                  <w:hideMark/>
                </w:tcPr>
                <w:p w14:paraId="76081103" w14:textId="77777777" w:rsidR="00130397" w:rsidRPr="0078016A" w:rsidRDefault="00130397" w:rsidP="00130397">
                  <w:pPr>
                    <w:spacing w:after="0" w:line="240" w:lineRule="auto"/>
                    <w:rPr>
                      <w:rFonts w:ascii="Calibri" w:hAnsi="Calibri"/>
                      <w:b/>
                      <w:bCs/>
                      <w:color w:val="000000"/>
                      <w:sz w:val="18"/>
                      <w:highlight w:val="lightGray"/>
                      <w:lang w:eastAsia="en-AU"/>
                    </w:rPr>
                  </w:pPr>
                  <w:r w:rsidRPr="0078016A">
                    <w:rPr>
                      <w:rFonts w:ascii="Calibri" w:hAnsi="Calibri"/>
                      <w:b/>
                      <w:bCs/>
                      <w:color w:val="000000"/>
                      <w:sz w:val="18"/>
                      <w:highlight w:val="lightGray"/>
                      <w:lang w:eastAsia="en-AU"/>
                    </w:rPr>
                    <w:t>Base Sick Leave</w:t>
                  </w:r>
                </w:p>
              </w:tc>
              <w:tc>
                <w:tcPr>
                  <w:tcW w:w="912" w:type="dxa"/>
                  <w:tcBorders>
                    <w:top w:val="nil"/>
                    <w:left w:val="nil"/>
                    <w:bottom w:val="single" w:sz="4" w:space="0" w:color="auto"/>
                    <w:right w:val="single" w:sz="4" w:space="0" w:color="auto"/>
                  </w:tcBorders>
                  <w:shd w:val="clear" w:color="000000" w:fill="BFBFBF"/>
                  <w:vAlign w:val="bottom"/>
                  <w:hideMark/>
                </w:tcPr>
                <w:p w14:paraId="2E81A4CA" w14:textId="77777777" w:rsidR="00130397" w:rsidRPr="0078016A" w:rsidRDefault="00130397" w:rsidP="00130397">
                  <w:pPr>
                    <w:spacing w:after="0" w:line="240" w:lineRule="auto"/>
                    <w:rPr>
                      <w:rFonts w:ascii="Calibri" w:hAnsi="Calibri"/>
                      <w:b/>
                      <w:bCs/>
                      <w:color w:val="000000"/>
                      <w:sz w:val="18"/>
                      <w:highlight w:val="lightGray"/>
                      <w:lang w:eastAsia="en-AU"/>
                    </w:rPr>
                  </w:pPr>
                  <w:r w:rsidRPr="0078016A">
                    <w:rPr>
                      <w:rFonts w:ascii="Calibri" w:hAnsi="Calibri"/>
                      <w:b/>
                      <w:bCs/>
                      <w:color w:val="000000"/>
                      <w:sz w:val="18"/>
                      <w:highlight w:val="lightGray"/>
                      <w:lang w:eastAsia="en-AU"/>
                    </w:rPr>
                    <w:t>Base Long Service Leave Provision</w:t>
                  </w:r>
                </w:p>
              </w:tc>
              <w:tc>
                <w:tcPr>
                  <w:tcW w:w="984" w:type="dxa"/>
                  <w:tcBorders>
                    <w:top w:val="nil"/>
                    <w:left w:val="nil"/>
                    <w:bottom w:val="single" w:sz="4" w:space="0" w:color="auto"/>
                    <w:right w:val="single" w:sz="4" w:space="0" w:color="auto"/>
                  </w:tcBorders>
                  <w:shd w:val="clear" w:color="000000" w:fill="BFBFBF"/>
                  <w:vAlign w:val="bottom"/>
                  <w:hideMark/>
                </w:tcPr>
                <w:p w14:paraId="3E9BA73C" w14:textId="77777777" w:rsidR="00130397" w:rsidRPr="0078016A" w:rsidRDefault="00130397" w:rsidP="00130397">
                  <w:pPr>
                    <w:spacing w:after="0" w:line="240" w:lineRule="auto"/>
                    <w:rPr>
                      <w:rFonts w:ascii="Calibri" w:hAnsi="Calibri"/>
                      <w:b/>
                      <w:bCs/>
                      <w:color w:val="000000"/>
                      <w:sz w:val="18"/>
                      <w:highlight w:val="lightGray"/>
                      <w:lang w:eastAsia="en-AU"/>
                    </w:rPr>
                  </w:pPr>
                  <w:r w:rsidRPr="0078016A">
                    <w:rPr>
                      <w:rFonts w:ascii="Calibri" w:hAnsi="Calibri"/>
                      <w:b/>
                      <w:bCs/>
                      <w:color w:val="000000"/>
                      <w:sz w:val="18"/>
                      <w:highlight w:val="lightGray"/>
                      <w:lang w:eastAsia="en-AU"/>
                    </w:rPr>
                    <w:t>Super- annuation</w:t>
                  </w:r>
                </w:p>
              </w:tc>
              <w:tc>
                <w:tcPr>
                  <w:tcW w:w="750" w:type="dxa"/>
                  <w:tcBorders>
                    <w:top w:val="nil"/>
                    <w:left w:val="nil"/>
                    <w:bottom w:val="single" w:sz="4" w:space="0" w:color="auto"/>
                    <w:right w:val="single" w:sz="4" w:space="0" w:color="auto"/>
                  </w:tcBorders>
                  <w:shd w:val="clear" w:color="000000" w:fill="BFBFBF"/>
                  <w:vAlign w:val="bottom"/>
                  <w:hideMark/>
                </w:tcPr>
                <w:p w14:paraId="746B7811" w14:textId="77777777" w:rsidR="00130397" w:rsidRPr="0078016A" w:rsidRDefault="00130397" w:rsidP="00130397">
                  <w:pPr>
                    <w:spacing w:after="0" w:line="240" w:lineRule="auto"/>
                    <w:rPr>
                      <w:rFonts w:ascii="Calibri" w:hAnsi="Calibri"/>
                      <w:b/>
                      <w:bCs/>
                      <w:color w:val="000000"/>
                      <w:sz w:val="18"/>
                      <w:highlight w:val="lightGray"/>
                      <w:lang w:eastAsia="en-AU"/>
                    </w:rPr>
                  </w:pPr>
                  <w:r w:rsidRPr="0078016A">
                    <w:rPr>
                      <w:rFonts w:ascii="Calibri" w:hAnsi="Calibri"/>
                      <w:b/>
                      <w:bCs/>
                      <w:color w:val="000000"/>
                      <w:sz w:val="18"/>
                      <w:highlight w:val="lightGray"/>
                      <w:lang w:eastAsia="en-AU"/>
                    </w:rPr>
                    <w:t>Total</w:t>
                  </w:r>
                </w:p>
              </w:tc>
            </w:tr>
            <w:tr w:rsidR="00130397" w:rsidRPr="00E2117E" w14:paraId="5A5D0EAF" w14:textId="77777777" w:rsidTr="00130397">
              <w:trPr>
                <w:trHeight w:val="288"/>
              </w:trPr>
              <w:tc>
                <w:tcPr>
                  <w:tcW w:w="1363" w:type="dxa"/>
                  <w:tcBorders>
                    <w:top w:val="nil"/>
                    <w:left w:val="nil"/>
                    <w:bottom w:val="single" w:sz="4" w:space="0" w:color="auto"/>
                    <w:right w:val="single" w:sz="4" w:space="0" w:color="auto"/>
                  </w:tcBorders>
                  <w:shd w:val="clear" w:color="auto" w:fill="auto"/>
                  <w:noWrap/>
                  <w:vAlign w:val="bottom"/>
                  <w:hideMark/>
                </w:tcPr>
                <w:p w14:paraId="07852359" w14:textId="77777777" w:rsidR="00130397" w:rsidRPr="00E2117E" w:rsidRDefault="00130397" w:rsidP="00130397">
                  <w:pPr>
                    <w:spacing w:after="0" w:line="240" w:lineRule="auto"/>
                    <w:rPr>
                      <w:rFonts w:ascii="Calibri" w:hAnsi="Calibri"/>
                      <w:color w:val="000000"/>
                      <w:sz w:val="18"/>
                      <w:lang w:eastAsia="en-AU"/>
                    </w:rPr>
                  </w:pPr>
                </w:p>
              </w:tc>
              <w:tc>
                <w:tcPr>
                  <w:tcW w:w="825" w:type="dxa"/>
                  <w:tcBorders>
                    <w:top w:val="nil"/>
                    <w:left w:val="nil"/>
                    <w:bottom w:val="single" w:sz="4" w:space="0" w:color="auto"/>
                    <w:right w:val="single" w:sz="4" w:space="0" w:color="auto"/>
                  </w:tcBorders>
                  <w:shd w:val="clear" w:color="auto" w:fill="auto"/>
                  <w:noWrap/>
                  <w:vAlign w:val="bottom"/>
                  <w:hideMark/>
                </w:tcPr>
                <w:p w14:paraId="19A9D411" w14:textId="77777777" w:rsidR="00130397" w:rsidRPr="00E2117E" w:rsidRDefault="00130397" w:rsidP="00130397">
                  <w:pPr>
                    <w:spacing w:after="0" w:line="240" w:lineRule="auto"/>
                    <w:rPr>
                      <w:rFonts w:ascii="Calibri" w:hAnsi="Calibri"/>
                      <w:color w:val="000000"/>
                      <w:sz w:val="18"/>
                      <w:lang w:eastAsia="en-AU"/>
                    </w:rPr>
                  </w:pPr>
                </w:p>
              </w:tc>
              <w:tc>
                <w:tcPr>
                  <w:tcW w:w="825" w:type="dxa"/>
                  <w:tcBorders>
                    <w:top w:val="nil"/>
                    <w:left w:val="nil"/>
                    <w:bottom w:val="single" w:sz="4" w:space="0" w:color="auto"/>
                    <w:right w:val="single" w:sz="4" w:space="0" w:color="auto"/>
                  </w:tcBorders>
                  <w:shd w:val="clear" w:color="auto" w:fill="auto"/>
                  <w:noWrap/>
                  <w:vAlign w:val="bottom"/>
                  <w:hideMark/>
                </w:tcPr>
                <w:p w14:paraId="233955A3" w14:textId="77777777" w:rsidR="00130397" w:rsidRPr="00E2117E" w:rsidRDefault="00130397" w:rsidP="00130397">
                  <w:pPr>
                    <w:spacing w:after="0" w:line="240" w:lineRule="auto"/>
                    <w:rPr>
                      <w:rFonts w:ascii="Calibri" w:hAnsi="Calibri"/>
                      <w:color w:val="000000"/>
                      <w:sz w:val="18"/>
                      <w:lang w:eastAsia="en-AU"/>
                    </w:rPr>
                  </w:pPr>
                </w:p>
              </w:tc>
              <w:tc>
                <w:tcPr>
                  <w:tcW w:w="712" w:type="dxa"/>
                  <w:tcBorders>
                    <w:top w:val="nil"/>
                    <w:left w:val="nil"/>
                    <w:bottom w:val="single" w:sz="4" w:space="0" w:color="auto"/>
                    <w:right w:val="single" w:sz="4" w:space="0" w:color="auto"/>
                  </w:tcBorders>
                  <w:shd w:val="clear" w:color="auto" w:fill="auto"/>
                  <w:noWrap/>
                  <w:vAlign w:val="bottom"/>
                </w:tcPr>
                <w:p w14:paraId="6997104D" w14:textId="77777777" w:rsidR="00130397" w:rsidRPr="00E2117E" w:rsidRDefault="00130397" w:rsidP="00130397">
                  <w:pPr>
                    <w:spacing w:after="0" w:line="240" w:lineRule="auto"/>
                    <w:rPr>
                      <w:rFonts w:ascii="Calibri" w:hAnsi="Calibri"/>
                      <w:color w:val="000000"/>
                      <w:sz w:val="18"/>
                      <w:lang w:eastAsia="en-AU"/>
                    </w:rPr>
                  </w:pPr>
                </w:p>
              </w:tc>
              <w:tc>
                <w:tcPr>
                  <w:tcW w:w="912" w:type="dxa"/>
                  <w:tcBorders>
                    <w:top w:val="nil"/>
                    <w:left w:val="nil"/>
                    <w:bottom w:val="single" w:sz="4" w:space="0" w:color="auto"/>
                    <w:right w:val="single" w:sz="4" w:space="0" w:color="auto"/>
                  </w:tcBorders>
                  <w:shd w:val="clear" w:color="auto" w:fill="auto"/>
                  <w:noWrap/>
                  <w:vAlign w:val="bottom"/>
                </w:tcPr>
                <w:p w14:paraId="63593BC1" w14:textId="77777777" w:rsidR="00130397" w:rsidRPr="00E2117E" w:rsidRDefault="00130397" w:rsidP="00130397">
                  <w:pPr>
                    <w:spacing w:after="0" w:line="240" w:lineRule="auto"/>
                    <w:rPr>
                      <w:rFonts w:ascii="Calibri" w:hAnsi="Calibri"/>
                      <w:color w:val="000000"/>
                      <w:sz w:val="18"/>
                      <w:lang w:eastAsia="en-AU"/>
                    </w:rPr>
                  </w:pPr>
                </w:p>
              </w:tc>
              <w:tc>
                <w:tcPr>
                  <w:tcW w:w="1068" w:type="dxa"/>
                  <w:tcBorders>
                    <w:top w:val="nil"/>
                    <w:left w:val="nil"/>
                    <w:bottom w:val="single" w:sz="4" w:space="0" w:color="auto"/>
                    <w:right w:val="single" w:sz="4" w:space="0" w:color="auto"/>
                  </w:tcBorders>
                  <w:shd w:val="clear" w:color="auto" w:fill="auto"/>
                  <w:noWrap/>
                  <w:vAlign w:val="bottom"/>
                </w:tcPr>
                <w:p w14:paraId="71563686" w14:textId="77777777" w:rsidR="00130397" w:rsidRPr="00E2117E" w:rsidRDefault="00130397" w:rsidP="00130397">
                  <w:pPr>
                    <w:spacing w:after="0" w:line="240" w:lineRule="auto"/>
                    <w:rPr>
                      <w:rFonts w:ascii="Calibri" w:hAnsi="Calibri"/>
                      <w:color w:val="000000"/>
                      <w:sz w:val="18"/>
                      <w:lang w:eastAsia="en-AU"/>
                    </w:rPr>
                  </w:pPr>
                </w:p>
              </w:tc>
              <w:tc>
                <w:tcPr>
                  <w:tcW w:w="1068" w:type="dxa"/>
                  <w:tcBorders>
                    <w:top w:val="nil"/>
                    <w:left w:val="nil"/>
                    <w:bottom w:val="single" w:sz="4" w:space="0" w:color="auto"/>
                    <w:right w:val="single" w:sz="4" w:space="0" w:color="auto"/>
                  </w:tcBorders>
                  <w:shd w:val="clear" w:color="auto" w:fill="auto"/>
                  <w:noWrap/>
                  <w:vAlign w:val="bottom"/>
                </w:tcPr>
                <w:p w14:paraId="1376A39A" w14:textId="77777777" w:rsidR="00130397" w:rsidRPr="00E2117E" w:rsidRDefault="00130397" w:rsidP="00130397">
                  <w:pPr>
                    <w:spacing w:after="0" w:line="240" w:lineRule="auto"/>
                    <w:rPr>
                      <w:rFonts w:ascii="Calibri" w:hAnsi="Calibri"/>
                      <w:color w:val="000000"/>
                      <w:sz w:val="18"/>
                      <w:lang w:eastAsia="en-AU"/>
                    </w:rPr>
                  </w:pPr>
                </w:p>
              </w:tc>
              <w:tc>
                <w:tcPr>
                  <w:tcW w:w="711" w:type="dxa"/>
                  <w:tcBorders>
                    <w:top w:val="nil"/>
                    <w:left w:val="nil"/>
                    <w:bottom w:val="single" w:sz="4" w:space="0" w:color="auto"/>
                    <w:right w:val="single" w:sz="4" w:space="0" w:color="auto"/>
                  </w:tcBorders>
                  <w:shd w:val="clear" w:color="auto" w:fill="auto"/>
                  <w:noWrap/>
                  <w:vAlign w:val="bottom"/>
                </w:tcPr>
                <w:p w14:paraId="496EF43B" w14:textId="77777777" w:rsidR="00130397" w:rsidRPr="00E2117E" w:rsidRDefault="00130397" w:rsidP="00130397">
                  <w:pPr>
                    <w:spacing w:after="0" w:line="240" w:lineRule="auto"/>
                    <w:rPr>
                      <w:rFonts w:ascii="Calibri" w:hAnsi="Calibri"/>
                      <w:color w:val="000000"/>
                      <w:sz w:val="18"/>
                      <w:lang w:eastAsia="en-AU"/>
                    </w:rPr>
                  </w:pPr>
                </w:p>
              </w:tc>
              <w:tc>
                <w:tcPr>
                  <w:tcW w:w="912" w:type="dxa"/>
                  <w:tcBorders>
                    <w:top w:val="nil"/>
                    <w:left w:val="nil"/>
                    <w:bottom w:val="single" w:sz="4" w:space="0" w:color="auto"/>
                    <w:right w:val="single" w:sz="4" w:space="0" w:color="auto"/>
                  </w:tcBorders>
                  <w:shd w:val="clear" w:color="auto" w:fill="auto"/>
                  <w:noWrap/>
                  <w:vAlign w:val="bottom"/>
                </w:tcPr>
                <w:p w14:paraId="409C587F" w14:textId="77777777" w:rsidR="00130397" w:rsidRPr="00E2117E" w:rsidRDefault="00130397" w:rsidP="00130397">
                  <w:pPr>
                    <w:spacing w:after="0" w:line="240" w:lineRule="auto"/>
                    <w:rPr>
                      <w:rFonts w:ascii="Calibri" w:hAnsi="Calibri"/>
                      <w:color w:val="000000"/>
                      <w:sz w:val="18"/>
                      <w:lang w:eastAsia="en-AU"/>
                    </w:rPr>
                  </w:pPr>
                </w:p>
              </w:tc>
              <w:tc>
                <w:tcPr>
                  <w:tcW w:w="984" w:type="dxa"/>
                  <w:tcBorders>
                    <w:top w:val="nil"/>
                    <w:left w:val="nil"/>
                    <w:bottom w:val="single" w:sz="4" w:space="0" w:color="auto"/>
                    <w:right w:val="single" w:sz="4" w:space="0" w:color="auto"/>
                  </w:tcBorders>
                  <w:shd w:val="clear" w:color="auto" w:fill="auto"/>
                  <w:noWrap/>
                  <w:vAlign w:val="bottom"/>
                </w:tcPr>
                <w:p w14:paraId="48FBCA8A" w14:textId="77777777" w:rsidR="00130397" w:rsidRPr="00E2117E" w:rsidRDefault="00130397" w:rsidP="00130397">
                  <w:pPr>
                    <w:spacing w:after="0" w:line="240" w:lineRule="auto"/>
                    <w:rPr>
                      <w:rFonts w:ascii="Calibri" w:hAnsi="Calibri"/>
                      <w:color w:val="000000"/>
                      <w:sz w:val="18"/>
                      <w:lang w:eastAsia="en-AU"/>
                    </w:rPr>
                  </w:pPr>
                </w:p>
              </w:tc>
              <w:tc>
                <w:tcPr>
                  <w:tcW w:w="750" w:type="dxa"/>
                  <w:tcBorders>
                    <w:top w:val="nil"/>
                    <w:left w:val="nil"/>
                    <w:bottom w:val="single" w:sz="4" w:space="0" w:color="auto"/>
                    <w:right w:val="single" w:sz="4" w:space="0" w:color="auto"/>
                  </w:tcBorders>
                  <w:shd w:val="clear" w:color="auto" w:fill="auto"/>
                  <w:noWrap/>
                  <w:vAlign w:val="bottom"/>
                </w:tcPr>
                <w:p w14:paraId="7E95F821" w14:textId="77777777" w:rsidR="00130397" w:rsidRPr="00E2117E" w:rsidRDefault="00130397" w:rsidP="00130397">
                  <w:pPr>
                    <w:spacing w:after="0" w:line="240" w:lineRule="auto"/>
                    <w:rPr>
                      <w:rFonts w:ascii="Calibri" w:hAnsi="Calibri"/>
                      <w:color w:val="000000"/>
                      <w:sz w:val="18"/>
                      <w:lang w:eastAsia="en-AU"/>
                    </w:rPr>
                  </w:pPr>
                </w:p>
              </w:tc>
            </w:tr>
            <w:tr w:rsidR="00130397" w:rsidRPr="00E2117E" w14:paraId="6FA5DD59" w14:textId="77777777" w:rsidTr="00130397">
              <w:trPr>
                <w:trHeight w:val="288"/>
              </w:trPr>
              <w:tc>
                <w:tcPr>
                  <w:tcW w:w="1363" w:type="dxa"/>
                  <w:tcBorders>
                    <w:top w:val="nil"/>
                    <w:left w:val="nil"/>
                    <w:bottom w:val="single" w:sz="4" w:space="0" w:color="auto"/>
                    <w:right w:val="single" w:sz="4" w:space="0" w:color="auto"/>
                  </w:tcBorders>
                  <w:shd w:val="clear" w:color="auto" w:fill="auto"/>
                  <w:noWrap/>
                  <w:vAlign w:val="bottom"/>
                </w:tcPr>
                <w:p w14:paraId="3F0943CA" w14:textId="77777777" w:rsidR="00130397" w:rsidRPr="00E2117E" w:rsidRDefault="00130397" w:rsidP="00130397">
                  <w:pPr>
                    <w:spacing w:after="0" w:line="240" w:lineRule="auto"/>
                    <w:rPr>
                      <w:rFonts w:ascii="Calibri" w:hAnsi="Calibri"/>
                      <w:color w:val="000000"/>
                      <w:sz w:val="18"/>
                      <w:lang w:eastAsia="en-AU"/>
                    </w:rPr>
                  </w:pPr>
                </w:p>
              </w:tc>
              <w:tc>
                <w:tcPr>
                  <w:tcW w:w="825" w:type="dxa"/>
                  <w:tcBorders>
                    <w:top w:val="nil"/>
                    <w:left w:val="nil"/>
                    <w:bottom w:val="single" w:sz="4" w:space="0" w:color="auto"/>
                    <w:right w:val="single" w:sz="4" w:space="0" w:color="auto"/>
                  </w:tcBorders>
                  <w:shd w:val="clear" w:color="auto" w:fill="auto"/>
                  <w:noWrap/>
                  <w:vAlign w:val="bottom"/>
                </w:tcPr>
                <w:p w14:paraId="617A6BA8" w14:textId="77777777" w:rsidR="00130397" w:rsidRPr="00E2117E" w:rsidRDefault="00130397" w:rsidP="00130397">
                  <w:pPr>
                    <w:spacing w:after="0" w:line="240" w:lineRule="auto"/>
                    <w:rPr>
                      <w:rFonts w:ascii="Calibri" w:hAnsi="Calibri"/>
                      <w:color w:val="000000"/>
                      <w:sz w:val="18"/>
                      <w:lang w:eastAsia="en-AU"/>
                    </w:rPr>
                  </w:pPr>
                </w:p>
              </w:tc>
              <w:tc>
                <w:tcPr>
                  <w:tcW w:w="825" w:type="dxa"/>
                  <w:tcBorders>
                    <w:top w:val="nil"/>
                    <w:left w:val="nil"/>
                    <w:bottom w:val="single" w:sz="4" w:space="0" w:color="auto"/>
                    <w:right w:val="single" w:sz="4" w:space="0" w:color="auto"/>
                  </w:tcBorders>
                  <w:shd w:val="clear" w:color="auto" w:fill="auto"/>
                  <w:noWrap/>
                  <w:vAlign w:val="bottom"/>
                </w:tcPr>
                <w:p w14:paraId="3080EC9D" w14:textId="77777777" w:rsidR="00130397" w:rsidRPr="00E2117E" w:rsidRDefault="00130397" w:rsidP="00130397">
                  <w:pPr>
                    <w:spacing w:after="0" w:line="240" w:lineRule="auto"/>
                    <w:rPr>
                      <w:rFonts w:ascii="Calibri" w:hAnsi="Calibri"/>
                      <w:color w:val="000000"/>
                      <w:sz w:val="18"/>
                      <w:lang w:eastAsia="en-AU"/>
                    </w:rPr>
                  </w:pPr>
                </w:p>
              </w:tc>
              <w:tc>
                <w:tcPr>
                  <w:tcW w:w="712" w:type="dxa"/>
                  <w:tcBorders>
                    <w:top w:val="nil"/>
                    <w:left w:val="nil"/>
                    <w:bottom w:val="single" w:sz="4" w:space="0" w:color="auto"/>
                    <w:right w:val="single" w:sz="4" w:space="0" w:color="auto"/>
                  </w:tcBorders>
                  <w:shd w:val="clear" w:color="auto" w:fill="auto"/>
                  <w:noWrap/>
                  <w:vAlign w:val="bottom"/>
                </w:tcPr>
                <w:p w14:paraId="5D02220B" w14:textId="77777777" w:rsidR="00130397" w:rsidRPr="00E2117E" w:rsidRDefault="00130397" w:rsidP="00130397">
                  <w:pPr>
                    <w:spacing w:after="0" w:line="240" w:lineRule="auto"/>
                    <w:rPr>
                      <w:rFonts w:ascii="Calibri" w:hAnsi="Calibri"/>
                      <w:color w:val="000000"/>
                      <w:sz w:val="18"/>
                      <w:lang w:eastAsia="en-AU"/>
                    </w:rPr>
                  </w:pPr>
                </w:p>
              </w:tc>
              <w:tc>
                <w:tcPr>
                  <w:tcW w:w="912" w:type="dxa"/>
                  <w:tcBorders>
                    <w:top w:val="nil"/>
                    <w:left w:val="nil"/>
                    <w:bottom w:val="single" w:sz="4" w:space="0" w:color="auto"/>
                    <w:right w:val="single" w:sz="4" w:space="0" w:color="auto"/>
                  </w:tcBorders>
                  <w:shd w:val="clear" w:color="auto" w:fill="auto"/>
                  <w:noWrap/>
                  <w:vAlign w:val="bottom"/>
                </w:tcPr>
                <w:p w14:paraId="35E0E620" w14:textId="77777777" w:rsidR="00130397" w:rsidRPr="00E2117E" w:rsidRDefault="00130397" w:rsidP="00130397">
                  <w:pPr>
                    <w:spacing w:after="0" w:line="240" w:lineRule="auto"/>
                    <w:rPr>
                      <w:rFonts w:ascii="Calibri" w:hAnsi="Calibri"/>
                      <w:color w:val="000000"/>
                      <w:sz w:val="18"/>
                      <w:lang w:eastAsia="en-AU"/>
                    </w:rPr>
                  </w:pPr>
                </w:p>
              </w:tc>
              <w:tc>
                <w:tcPr>
                  <w:tcW w:w="1068" w:type="dxa"/>
                  <w:tcBorders>
                    <w:top w:val="nil"/>
                    <w:left w:val="nil"/>
                    <w:bottom w:val="single" w:sz="4" w:space="0" w:color="auto"/>
                    <w:right w:val="single" w:sz="4" w:space="0" w:color="auto"/>
                  </w:tcBorders>
                  <w:shd w:val="clear" w:color="auto" w:fill="auto"/>
                  <w:noWrap/>
                  <w:vAlign w:val="bottom"/>
                </w:tcPr>
                <w:p w14:paraId="0FE92335" w14:textId="77777777" w:rsidR="00130397" w:rsidRPr="00E2117E" w:rsidRDefault="00130397" w:rsidP="00130397">
                  <w:pPr>
                    <w:spacing w:after="0" w:line="240" w:lineRule="auto"/>
                    <w:rPr>
                      <w:rFonts w:ascii="Calibri" w:hAnsi="Calibri"/>
                      <w:color w:val="000000"/>
                      <w:sz w:val="18"/>
                      <w:lang w:eastAsia="en-AU"/>
                    </w:rPr>
                  </w:pPr>
                </w:p>
              </w:tc>
              <w:tc>
                <w:tcPr>
                  <w:tcW w:w="1068" w:type="dxa"/>
                  <w:tcBorders>
                    <w:top w:val="nil"/>
                    <w:left w:val="nil"/>
                    <w:bottom w:val="single" w:sz="4" w:space="0" w:color="auto"/>
                    <w:right w:val="single" w:sz="4" w:space="0" w:color="auto"/>
                  </w:tcBorders>
                  <w:shd w:val="clear" w:color="auto" w:fill="auto"/>
                  <w:noWrap/>
                  <w:vAlign w:val="bottom"/>
                </w:tcPr>
                <w:p w14:paraId="7DF869F6" w14:textId="77777777" w:rsidR="00130397" w:rsidRPr="00E2117E" w:rsidRDefault="00130397" w:rsidP="00130397">
                  <w:pPr>
                    <w:spacing w:after="0" w:line="240" w:lineRule="auto"/>
                    <w:rPr>
                      <w:rFonts w:ascii="Calibri" w:hAnsi="Calibri"/>
                      <w:color w:val="000000"/>
                      <w:sz w:val="18"/>
                      <w:lang w:eastAsia="en-AU"/>
                    </w:rPr>
                  </w:pPr>
                </w:p>
              </w:tc>
              <w:tc>
                <w:tcPr>
                  <w:tcW w:w="711" w:type="dxa"/>
                  <w:tcBorders>
                    <w:top w:val="nil"/>
                    <w:left w:val="nil"/>
                    <w:bottom w:val="single" w:sz="4" w:space="0" w:color="auto"/>
                    <w:right w:val="single" w:sz="4" w:space="0" w:color="auto"/>
                  </w:tcBorders>
                  <w:shd w:val="clear" w:color="auto" w:fill="auto"/>
                  <w:noWrap/>
                  <w:vAlign w:val="bottom"/>
                </w:tcPr>
                <w:p w14:paraId="3E060E09" w14:textId="77777777" w:rsidR="00130397" w:rsidRPr="00E2117E" w:rsidRDefault="00130397" w:rsidP="00130397">
                  <w:pPr>
                    <w:spacing w:after="0" w:line="240" w:lineRule="auto"/>
                    <w:rPr>
                      <w:rFonts w:ascii="Calibri" w:hAnsi="Calibri"/>
                      <w:color w:val="000000"/>
                      <w:sz w:val="18"/>
                      <w:lang w:eastAsia="en-AU"/>
                    </w:rPr>
                  </w:pPr>
                </w:p>
              </w:tc>
              <w:tc>
                <w:tcPr>
                  <w:tcW w:w="912" w:type="dxa"/>
                  <w:tcBorders>
                    <w:top w:val="nil"/>
                    <w:left w:val="nil"/>
                    <w:bottom w:val="single" w:sz="4" w:space="0" w:color="auto"/>
                    <w:right w:val="single" w:sz="4" w:space="0" w:color="auto"/>
                  </w:tcBorders>
                  <w:shd w:val="clear" w:color="auto" w:fill="auto"/>
                  <w:noWrap/>
                  <w:vAlign w:val="bottom"/>
                </w:tcPr>
                <w:p w14:paraId="095538ED" w14:textId="77777777" w:rsidR="00130397" w:rsidRPr="00E2117E" w:rsidRDefault="00130397" w:rsidP="00130397">
                  <w:pPr>
                    <w:spacing w:after="0" w:line="240" w:lineRule="auto"/>
                    <w:rPr>
                      <w:rFonts w:ascii="Calibri" w:hAnsi="Calibri"/>
                      <w:color w:val="000000"/>
                      <w:sz w:val="18"/>
                      <w:lang w:eastAsia="en-AU"/>
                    </w:rPr>
                  </w:pPr>
                </w:p>
              </w:tc>
              <w:tc>
                <w:tcPr>
                  <w:tcW w:w="984" w:type="dxa"/>
                  <w:tcBorders>
                    <w:top w:val="nil"/>
                    <w:left w:val="nil"/>
                    <w:bottom w:val="single" w:sz="4" w:space="0" w:color="auto"/>
                    <w:right w:val="single" w:sz="4" w:space="0" w:color="auto"/>
                  </w:tcBorders>
                  <w:shd w:val="clear" w:color="auto" w:fill="auto"/>
                  <w:noWrap/>
                  <w:vAlign w:val="bottom"/>
                </w:tcPr>
                <w:p w14:paraId="2575A4C8" w14:textId="77777777" w:rsidR="00130397" w:rsidRPr="00E2117E" w:rsidRDefault="00130397" w:rsidP="00130397">
                  <w:pPr>
                    <w:spacing w:after="0" w:line="240" w:lineRule="auto"/>
                    <w:rPr>
                      <w:rFonts w:ascii="Calibri" w:hAnsi="Calibri"/>
                      <w:color w:val="000000"/>
                      <w:sz w:val="18"/>
                      <w:lang w:eastAsia="en-AU"/>
                    </w:rPr>
                  </w:pPr>
                </w:p>
              </w:tc>
              <w:tc>
                <w:tcPr>
                  <w:tcW w:w="750" w:type="dxa"/>
                  <w:tcBorders>
                    <w:top w:val="nil"/>
                    <w:left w:val="nil"/>
                    <w:bottom w:val="single" w:sz="4" w:space="0" w:color="auto"/>
                    <w:right w:val="single" w:sz="4" w:space="0" w:color="auto"/>
                  </w:tcBorders>
                  <w:shd w:val="clear" w:color="auto" w:fill="auto"/>
                  <w:noWrap/>
                  <w:vAlign w:val="bottom"/>
                </w:tcPr>
                <w:p w14:paraId="2D3F477A" w14:textId="77777777" w:rsidR="00130397" w:rsidRPr="00E2117E" w:rsidRDefault="00130397" w:rsidP="00130397">
                  <w:pPr>
                    <w:spacing w:after="0" w:line="240" w:lineRule="auto"/>
                    <w:rPr>
                      <w:rFonts w:ascii="Calibri" w:hAnsi="Calibri"/>
                      <w:color w:val="000000"/>
                      <w:sz w:val="18"/>
                      <w:lang w:eastAsia="en-AU"/>
                    </w:rPr>
                  </w:pPr>
                </w:p>
              </w:tc>
            </w:tr>
            <w:tr w:rsidR="00130397" w:rsidRPr="00E2117E" w14:paraId="1AF22A98" w14:textId="77777777" w:rsidTr="00130397">
              <w:trPr>
                <w:trHeight w:val="288"/>
              </w:trPr>
              <w:tc>
                <w:tcPr>
                  <w:tcW w:w="1363" w:type="dxa"/>
                  <w:tcBorders>
                    <w:top w:val="nil"/>
                    <w:left w:val="nil"/>
                    <w:bottom w:val="single" w:sz="4" w:space="0" w:color="auto"/>
                    <w:right w:val="single" w:sz="4" w:space="0" w:color="auto"/>
                  </w:tcBorders>
                  <w:shd w:val="clear" w:color="auto" w:fill="auto"/>
                  <w:noWrap/>
                  <w:vAlign w:val="bottom"/>
                </w:tcPr>
                <w:p w14:paraId="49298ADB" w14:textId="77777777" w:rsidR="00130397" w:rsidRPr="00E2117E" w:rsidRDefault="00130397" w:rsidP="00130397">
                  <w:pPr>
                    <w:spacing w:after="0" w:line="240" w:lineRule="auto"/>
                    <w:rPr>
                      <w:rFonts w:ascii="Calibri" w:hAnsi="Calibri"/>
                      <w:color w:val="000000"/>
                      <w:sz w:val="18"/>
                      <w:lang w:eastAsia="en-AU"/>
                    </w:rPr>
                  </w:pPr>
                </w:p>
              </w:tc>
              <w:tc>
                <w:tcPr>
                  <w:tcW w:w="825" w:type="dxa"/>
                  <w:tcBorders>
                    <w:top w:val="nil"/>
                    <w:left w:val="nil"/>
                    <w:bottom w:val="single" w:sz="4" w:space="0" w:color="auto"/>
                    <w:right w:val="single" w:sz="4" w:space="0" w:color="auto"/>
                  </w:tcBorders>
                  <w:shd w:val="clear" w:color="auto" w:fill="auto"/>
                  <w:noWrap/>
                  <w:vAlign w:val="bottom"/>
                </w:tcPr>
                <w:p w14:paraId="59C0C036" w14:textId="77777777" w:rsidR="00130397" w:rsidRPr="00E2117E" w:rsidRDefault="00130397" w:rsidP="00130397">
                  <w:pPr>
                    <w:spacing w:after="0" w:line="240" w:lineRule="auto"/>
                    <w:rPr>
                      <w:rFonts w:ascii="Calibri" w:hAnsi="Calibri"/>
                      <w:color w:val="000000"/>
                      <w:sz w:val="18"/>
                      <w:lang w:eastAsia="en-AU"/>
                    </w:rPr>
                  </w:pPr>
                </w:p>
              </w:tc>
              <w:tc>
                <w:tcPr>
                  <w:tcW w:w="825" w:type="dxa"/>
                  <w:tcBorders>
                    <w:top w:val="nil"/>
                    <w:left w:val="nil"/>
                    <w:bottom w:val="single" w:sz="4" w:space="0" w:color="auto"/>
                    <w:right w:val="single" w:sz="4" w:space="0" w:color="auto"/>
                  </w:tcBorders>
                  <w:shd w:val="clear" w:color="auto" w:fill="auto"/>
                  <w:noWrap/>
                  <w:vAlign w:val="bottom"/>
                </w:tcPr>
                <w:p w14:paraId="529AAA7D" w14:textId="77777777" w:rsidR="00130397" w:rsidRPr="00E2117E" w:rsidRDefault="00130397" w:rsidP="00130397">
                  <w:pPr>
                    <w:spacing w:after="0" w:line="240" w:lineRule="auto"/>
                    <w:rPr>
                      <w:rFonts w:ascii="Calibri" w:hAnsi="Calibri"/>
                      <w:color w:val="000000"/>
                      <w:sz w:val="18"/>
                      <w:lang w:eastAsia="en-AU"/>
                    </w:rPr>
                  </w:pPr>
                </w:p>
              </w:tc>
              <w:tc>
                <w:tcPr>
                  <w:tcW w:w="712" w:type="dxa"/>
                  <w:tcBorders>
                    <w:top w:val="nil"/>
                    <w:left w:val="nil"/>
                    <w:bottom w:val="single" w:sz="4" w:space="0" w:color="auto"/>
                    <w:right w:val="single" w:sz="4" w:space="0" w:color="auto"/>
                  </w:tcBorders>
                  <w:shd w:val="clear" w:color="auto" w:fill="auto"/>
                  <w:noWrap/>
                  <w:vAlign w:val="bottom"/>
                </w:tcPr>
                <w:p w14:paraId="128B5335" w14:textId="77777777" w:rsidR="00130397" w:rsidRPr="00E2117E" w:rsidRDefault="00130397" w:rsidP="00130397">
                  <w:pPr>
                    <w:spacing w:after="0" w:line="240" w:lineRule="auto"/>
                    <w:rPr>
                      <w:rFonts w:ascii="Calibri" w:hAnsi="Calibri"/>
                      <w:color w:val="000000"/>
                      <w:sz w:val="18"/>
                      <w:lang w:eastAsia="en-AU"/>
                    </w:rPr>
                  </w:pPr>
                </w:p>
              </w:tc>
              <w:tc>
                <w:tcPr>
                  <w:tcW w:w="912" w:type="dxa"/>
                  <w:tcBorders>
                    <w:top w:val="nil"/>
                    <w:left w:val="nil"/>
                    <w:bottom w:val="single" w:sz="4" w:space="0" w:color="auto"/>
                    <w:right w:val="single" w:sz="4" w:space="0" w:color="auto"/>
                  </w:tcBorders>
                  <w:shd w:val="clear" w:color="auto" w:fill="auto"/>
                  <w:noWrap/>
                  <w:vAlign w:val="bottom"/>
                </w:tcPr>
                <w:p w14:paraId="0603CAE9" w14:textId="77777777" w:rsidR="00130397" w:rsidRPr="00E2117E" w:rsidRDefault="00130397" w:rsidP="00130397">
                  <w:pPr>
                    <w:spacing w:after="0" w:line="240" w:lineRule="auto"/>
                    <w:rPr>
                      <w:rFonts w:ascii="Calibri" w:hAnsi="Calibri"/>
                      <w:color w:val="000000"/>
                      <w:sz w:val="18"/>
                      <w:lang w:eastAsia="en-AU"/>
                    </w:rPr>
                  </w:pPr>
                </w:p>
              </w:tc>
              <w:tc>
                <w:tcPr>
                  <w:tcW w:w="1068" w:type="dxa"/>
                  <w:tcBorders>
                    <w:top w:val="nil"/>
                    <w:left w:val="nil"/>
                    <w:bottom w:val="single" w:sz="4" w:space="0" w:color="auto"/>
                    <w:right w:val="single" w:sz="4" w:space="0" w:color="auto"/>
                  </w:tcBorders>
                  <w:shd w:val="clear" w:color="auto" w:fill="auto"/>
                  <w:noWrap/>
                  <w:vAlign w:val="bottom"/>
                </w:tcPr>
                <w:p w14:paraId="5A8BF807" w14:textId="77777777" w:rsidR="00130397" w:rsidRPr="00E2117E" w:rsidRDefault="00130397" w:rsidP="00130397">
                  <w:pPr>
                    <w:spacing w:after="0" w:line="240" w:lineRule="auto"/>
                    <w:rPr>
                      <w:rFonts w:ascii="Calibri" w:hAnsi="Calibri"/>
                      <w:color w:val="000000"/>
                      <w:sz w:val="18"/>
                      <w:lang w:eastAsia="en-AU"/>
                    </w:rPr>
                  </w:pPr>
                </w:p>
              </w:tc>
              <w:tc>
                <w:tcPr>
                  <w:tcW w:w="1068" w:type="dxa"/>
                  <w:tcBorders>
                    <w:top w:val="nil"/>
                    <w:left w:val="nil"/>
                    <w:bottom w:val="single" w:sz="4" w:space="0" w:color="auto"/>
                    <w:right w:val="single" w:sz="4" w:space="0" w:color="auto"/>
                  </w:tcBorders>
                  <w:shd w:val="clear" w:color="auto" w:fill="auto"/>
                  <w:noWrap/>
                  <w:vAlign w:val="bottom"/>
                </w:tcPr>
                <w:p w14:paraId="46B704E7" w14:textId="77777777" w:rsidR="00130397" w:rsidRPr="00E2117E" w:rsidRDefault="00130397" w:rsidP="00130397">
                  <w:pPr>
                    <w:spacing w:after="0" w:line="240" w:lineRule="auto"/>
                    <w:rPr>
                      <w:rFonts w:ascii="Calibri" w:hAnsi="Calibri"/>
                      <w:color w:val="000000"/>
                      <w:sz w:val="18"/>
                      <w:lang w:eastAsia="en-AU"/>
                    </w:rPr>
                  </w:pPr>
                </w:p>
              </w:tc>
              <w:tc>
                <w:tcPr>
                  <w:tcW w:w="711" w:type="dxa"/>
                  <w:tcBorders>
                    <w:top w:val="nil"/>
                    <w:left w:val="nil"/>
                    <w:bottom w:val="single" w:sz="4" w:space="0" w:color="auto"/>
                    <w:right w:val="single" w:sz="4" w:space="0" w:color="auto"/>
                  </w:tcBorders>
                  <w:shd w:val="clear" w:color="auto" w:fill="auto"/>
                  <w:noWrap/>
                  <w:vAlign w:val="bottom"/>
                </w:tcPr>
                <w:p w14:paraId="7643DC05" w14:textId="77777777" w:rsidR="00130397" w:rsidRPr="00E2117E" w:rsidRDefault="00130397" w:rsidP="00130397">
                  <w:pPr>
                    <w:spacing w:after="0" w:line="240" w:lineRule="auto"/>
                    <w:rPr>
                      <w:rFonts w:ascii="Calibri" w:hAnsi="Calibri"/>
                      <w:color w:val="000000"/>
                      <w:sz w:val="18"/>
                      <w:lang w:eastAsia="en-AU"/>
                    </w:rPr>
                  </w:pPr>
                </w:p>
              </w:tc>
              <w:tc>
                <w:tcPr>
                  <w:tcW w:w="912" w:type="dxa"/>
                  <w:tcBorders>
                    <w:top w:val="nil"/>
                    <w:left w:val="nil"/>
                    <w:bottom w:val="single" w:sz="4" w:space="0" w:color="auto"/>
                    <w:right w:val="single" w:sz="4" w:space="0" w:color="auto"/>
                  </w:tcBorders>
                  <w:shd w:val="clear" w:color="auto" w:fill="auto"/>
                  <w:noWrap/>
                  <w:vAlign w:val="bottom"/>
                </w:tcPr>
                <w:p w14:paraId="245C9E4F" w14:textId="77777777" w:rsidR="00130397" w:rsidRPr="00E2117E" w:rsidRDefault="00130397" w:rsidP="00130397">
                  <w:pPr>
                    <w:spacing w:after="0" w:line="240" w:lineRule="auto"/>
                    <w:rPr>
                      <w:rFonts w:ascii="Calibri" w:hAnsi="Calibri"/>
                      <w:color w:val="000000"/>
                      <w:sz w:val="18"/>
                      <w:lang w:eastAsia="en-AU"/>
                    </w:rPr>
                  </w:pPr>
                </w:p>
              </w:tc>
              <w:tc>
                <w:tcPr>
                  <w:tcW w:w="984" w:type="dxa"/>
                  <w:tcBorders>
                    <w:top w:val="nil"/>
                    <w:left w:val="nil"/>
                    <w:bottom w:val="single" w:sz="4" w:space="0" w:color="auto"/>
                    <w:right w:val="single" w:sz="4" w:space="0" w:color="auto"/>
                  </w:tcBorders>
                  <w:shd w:val="clear" w:color="auto" w:fill="auto"/>
                  <w:noWrap/>
                  <w:vAlign w:val="bottom"/>
                </w:tcPr>
                <w:p w14:paraId="10320528" w14:textId="77777777" w:rsidR="00130397" w:rsidRPr="00E2117E" w:rsidRDefault="00130397" w:rsidP="00130397">
                  <w:pPr>
                    <w:spacing w:after="0" w:line="240" w:lineRule="auto"/>
                    <w:rPr>
                      <w:rFonts w:ascii="Calibri" w:hAnsi="Calibri"/>
                      <w:color w:val="000000"/>
                      <w:sz w:val="18"/>
                      <w:lang w:eastAsia="en-AU"/>
                    </w:rPr>
                  </w:pPr>
                </w:p>
              </w:tc>
              <w:tc>
                <w:tcPr>
                  <w:tcW w:w="750" w:type="dxa"/>
                  <w:tcBorders>
                    <w:top w:val="nil"/>
                    <w:left w:val="nil"/>
                    <w:bottom w:val="single" w:sz="4" w:space="0" w:color="auto"/>
                    <w:right w:val="single" w:sz="4" w:space="0" w:color="auto"/>
                  </w:tcBorders>
                  <w:shd w:val="clear" w:color="auto" w:fill="auto"/>
                  <w:noWrap/>
                  <w:vAlign w:val="bottom"/>
                </w:tcPr>
                <w:p w14:paraId="69FC9BCE" w14:textId="77777777" w:rsidR="00130397" w:rsidRPr="00E2117E" w:rsidRDefault="00130397" w:rsidP="00130397">
                  <w:pPr>
                    <w:spacing w:after="0" w:line="240" w:lineRule="auto"/>
                    <w:rPr>
                      <w:rFonts w:ascii="Calibri" w:hAnsi="Calibri"/>
                      <w:color w:val="000000"/>
                      <w:sz w:val="18"/>
                      <w:lang w:eastAsia="en-AU"/>
                    </w:rPr>
                  </w:pPr>
                </w:p>
              </w:tc>
            </w:tr>
            <w:tr w:rsidR="00130397" w:rsidRPr="00E2117E" w14:paraId="438D8581" w14:textId="77777777" w:rsidTr="00130397">
              <w:trPr>
                <w:trHeight w:val="288"/>
              </w:trPr>
              <w:tc>
                <w:tcPr>
                  <w:tcW w:w="1363" w:type="dxa"/>
                  <w:tcBorders>
                    <w:top w:val="nil"/>
                    <w:left w:val="nil"/>
                    <w:bottom w:val="single" w:sz="4" w:space="0" w:color="auto"/>
                    <w:right w:val="single" w:sz="4" w:space="0" w:color="auto"/>
                  </w:tcBorders>
                  <w:shd w:val="clear" w:color="auto" w:fill="auto"/>
                  <w:noWrap/>
                  <w:vAlign w:val="bottom"/>
                </w:tcPr>
                <w:p w14:paraId="5758CD41" w14:textId="77777777" w:rsidR="00130397" w:rsidRPr="00E2117E" w:rsidRDefault="00130397" w:rsidP="00130397">
                  <w:pPr>
                    <w:spacing w:after="0" w:line="240" w:lineRule="auto"/>
                    <w:rPr>
                      <w:rFonts w:ascii="Calibri" w:hAnsi="Calibri"/>
                      <w:color w:val="000000"/>
                      <w:sz w:val="18"/>
                      <w:lang w:eastAsia="en-AU"/>
                    </w:rPr>
                  </w:pPr>
                </w:p>
              </w:tc>
              <w:tc>
                <w:tcPr>
                  <w:tcW w:w="825" w:type="dxa"/>
                  <w:tcBorders>
                    <w:top w:val="nil"/>
                    <w:left w:val="nil"/>
                    <w:bottom w:val="single" w:sz="4" w:space="0" w:color="auto"/>
                    <w:right w:val="single" w:sz="4" w:space="0" w:color="auto"/>
                  </w:tcBorders>
                  <w:shd w:val="clear" w:color="auto" w:fill="auto"/>
                  <w:noWrap/>
                  <w:vAlign w:val="bottom"/>
                </w:tcPr>
                <w:p w14:paraId="04C70DC2" w14:textId="77777777" w:rsidR="00130397" w:rsidRPr="00E2117E" w:rsidRDefault="00130397" w:rsidP="00130397">
                  <w:pPr>
                    <w:spacing w:after="0" w:line="240" w:lineRule="auto"/>
                    <w:rPr>
                      <w:rFonts w:ascii="Calibri" w:hAnsi="Calibri"/>
                      <w:color w:val="000000"/>
                      <w:sz w:val="18"/>
                      <w:lang w:eastAsia="en-AU"/>
                    </w:rPr>
                  </w:pPr>
                </w:p>
              </w:tc>
              <w:tc>
                <w:tcPr>
                  <w:tcW w:w="825" w:type="dxa"/>
                  <w:tcBorders>
                    <w:top w:val="nil"/>
                    <w:left w:val="nil"/>
                    <w:bottom w:val="single" w:sz="4" w:space="0" w:color="auto"/>
                    <w:right w:val="single" w:sz="4" w:space="0" w:color="auto"/>
                  </w:tcBorders>
                  <w:shd w:val="clear" w:color="auto" w:fill="auto"/>
                  <w:noWrap/>
                  <w:vAlign w:val="bottom"/>
                </w:tcPr>
                <w:p w14:paraId="63678877" w14:textId="77777777" w:rsidR="00130397" w:rsidRPr="00E2117E" w:rsidRDefault="00130397" w:rsidP="00130397">
                  <w:pPr>
                    <w:spacing w:after="0" w:line="240" w:lineRule="auto"/>
                    <w:rPr>
                      <w:rFonts w:ascii="Calibri" w:hAnsi="Calibri"/>
                      <w:color w:val="000000"/>
                      <w:sz w:val="18"/>
                      <w:lang w:eastAsia="en-AU"/>
                    </w:rPr>
                  </w:pPr>
                </w:p>
              </w:tc>
              <w:tc>
                <w:tcPr>
                  <w:tcW w:w="712" w:type="dxa"/>
                  <w:tcBorders>
                    <w:top w:val="nil"/>
                    <w:left w:val="nil"/>
                    <w:bottom w:val="single" w:sz="4" w:space="0" w:color="auto"/>
                    <w:right w:val="single" w:sz="4" w:space="0" w:color="auto"/>
                  </w:tcBorders>
                  <w:shd w:val="clear" w:color="auto" w:fill="auto"/>
                  <w:noWrap/>
                  <w:vAlign w:val="bottom"/>
                </w:tcPr>
                <w:p w14:paraId="15EB37E4" w14:textId="77777777" w:rsidR="00130397" w:rsidRPr="00E2117E" w:rsidRDefault="00130397" w:rsidP="00130397">
                  <w:pPr>
                    <w:spacing w:after="0" w:line="240" w:lineRule="auto"/>
                    <w:rPr>
                      <w:rFonts w:ascii="Calibri" w:hAnsi="Calibri"/>
                      <w:color w:val="000000"/>
                      <w:sz w:val="18"/>
                      <w:lang w:eastAsia="en-AU"/>
                    </w:rPr>
                  </w:pPr>
                </w:p>
              </w:tc>
              <w:tc>
                <w:tcPr>
                  <w:tcW w:w="912" w:type="dxa"/>
                  <w:tcBorders>
                    <w:top w:val="nil"/>
                    <w:left w:val="nil"/>
                    <w:bottom w:val="single" w:sz="4" w:space="0" w:color="auto"/>
                    <w:right w:val="single" w:sz="4" w:space="0" w:color="auto"/>
                  </w:tcBorders>
                  <w:shd w:val="clear" w:color="auto" w:fill="auto"/>
                  <w:noWrap/>
                  <w:vAlign w:val="bottom"/>
                </w:tcPr>
                <w:p w14:paraId="7BCBE690" w14:textId="77777777" w:rsidR="00130397" w:rsidRPr="00E2117E" w:rsidRDefault="00130397" w:rsidP="00130397">
                  <w:pPr>
                    <w:spacing w:after="0" w:line="240" w:lineRule="auto"/>
                    <w:rPr>
                      <w:rFonts w:ascii="Calibri" w:hAnsi="Calibri"/>
                      <w:color w:val="000000"/>
                      <w:sz w:val="18"/>
                      <w:lang w:eastAsia="en-AU"/>
                    </w:rPr>
                  </w:pPr>
                </w:p>
              </w:tc>
              <w:tc>
                <w:tcPr>
                  <w:tcW w:w="1068" w:type="dxa"/>
                  <w:tcBorders>
                    <w:top w:val="nil"/>
                    <w:left w:val="nil"/>
                    <w:bottom w:val="single" w:sz="4" w:space="0" w:color="auto"/>
                    <w:right w:val="single" w:sz="4" w:space="0" w:color="auto"/>
                  </w:tcBorders>
                  <w:shd w:val="clear" w:color="auto" w:fill="auto"/>
                  <w:noWrap/>
                  <w:vAlign w:val="bottom"/>
                </w:tcPr>
                <w:p w14:paraId="5859201E" w14:textId="77777777" w:rsidR="00130397" w:rsidRPr="00E2117E" w:rsidRDefault="00130397" w:rsidP="00130397">
                  <w:pPr>
                    <w:spacing w:after="0" w:line="240" w:lineRule="auto"/>
                    <w:rPr>
                      <w:rFonts w:ascii="Calibri" w:hAnsi="Calibri"/>
                      <w:color w:val="000000"/>
                      <w:sz w:val="18"/>
                      <w:lang w:eastAsia="en-AU"/>
                    </w:rPr>
                  </w:pPr>
                </w:p>
              </w:tc>
              <w:tc>
                <w:tcPr>
                  <w:tcW w:w="1068" w:type="dxa"/>
                  <w:tcBorders>
                    <w:top w:val="nil"/>
                    <w:left w:val="nil"/>
                    <w:bottom w:val="single" w:sz="4" w:space="0" w:color="auto"/>
                    <w:right w:val="single" w:sz="4" w:space="0" w:color="auto"/>
                  </w:tcBorders>
                  <w:shd w:val="clear" w:color="auto" w:fill="auto"/>
                  <w:noWrap/>
                  <w:vAlign w:val="bottom"/>
                </w:tcPr>
                <w:p w14:paraId="6E31F7D6" w14:textId="77777777" w:rsidR="00130397" w:rsidRPr="00E2117E" w:rsidRDefault="00130397" w:rsidP="00130397">
                  <w:pPr>
                    <w:spacing w:after="0" w:line="240" w:lineRule="auto"/>
                    <w:rPr>
                      <w:rFonts w:ascii="Calibri" w:hAnsi="Calibri"/>
                      <w:color w:val="000000"/>
                      <w:sz w:val="18"/>
                      <w:lang w:eastAsia="en-AU"/>
                    </w:rPr>
                  </w:pPr>
                </w:p>
              </w:tc>
              <w:tc>
                <w:tcPr>
                  <w:tcW w:w="711" w:type="dxa"/>
                  <w:tcBorders>
                    <w:top w:val="nil"/>
                    <w:left w:val="nil"/>
                    <w:bottom w:val="single" w:sz="4" w:space="0" w:color="auto"/>
                    <w:right w:val="single" w:sz="4" w:space="0" w:color="auto"/>
                  </w:tcBorders>
                  <w:shd w:val="clear" w:color="auto" w:fill="auto"/>
                  <w:noWrap/>
                  <w:vAlign w:val="bottom"/>
                </w:tcPr>
                <w:p w14:paraId="0DFDBDE3" w14:textId="77777777" w:rsidR="00130397" w:rsidRPr="00E2117E" w:rsidRDefault="00130397" w:rsidP="00130397">
                  <w:pPr>
                    <w:spacing w:after="0" w:line="240" w:lineRule="auto"/>
                    <w:rPr>
                      <w:rFonts w:ascii="Calibri" w:hAnsi="Calibri"/>
                      <w:color w:val="000000"/>
                      <w:sz w:val="18"/>
                      <w:lang w:eastAsia="en-AU"/>
                    </w:rPr>
                  </w:pPr>
                </w:p>
              </w:tc>
              <w:tc>
                <w:tcPr>
                  <w:tcW w:w="912" w:type="dxa"/>
                  <w:tcBorders>
                    <w:top w:val="nil"/>
                    <w:left w:val="nil"/>
                    <w:bottom w:val="single" w:sz="4" w:space="0" w:color="auto"/>
                    <w:right w:val="single" w:sz="4" w:space="0" w:color="auto"/>
                  </w:tcBorders>
                  <w:shd w:val="clear" w:color="auto" w:fill="auto"/>
                  <w:noWrap/>
                  <w:vAlign w:val="bottom"/>
                </w:tcPr>
                <w:p w14:paraId="5A6A6BBB" w14:textId="77777777" w:rsidR="00130397" w:rsidRPr="00E2117E" w:rsidRDefault="00130397" w:rsidP="00130397">
                  <w:pPr>
                    <w:spacing w:after="0" w:line="240" w:lineRule="auto"/>
                    <w:rPr>
                      <w:rFonts w:ascii="Calibri" w:hAnsi="Calibri"/>
                      <w:color w:val="000000"/>
                      <w:sz w:val="18"/>
                      <w:lang w:eastAsia="en-AU"/>
                    </w:rPr>
                  </w:pPr>
                </w:p>
              </w:tc>
              <w:tc>
                <w:tcPr>
                  <w:tcW w:w="984" w:type="dxa"/>
                  <w:tcBorders>
                    <w:top w:val="nil"/>
                    <w:left w:val="nil"/>
                    <w:bottom w:val="single" w:sz="4" w:space="0" w:color="auto"/>
                    <w:right w:val="single" w:sz="4" w:space="0" w:color="auto"/>
                  </w:tcBorders>
                  <w:shd w:val="clear" w:color="auto" w:fill="auto"/>
                  <w:noWrap/>
                  <w:vAlign w:val="bottom"/>
                </w:tcPr>
                <w:p w14:paraId="3FB3BC9A" w14:textId="77777777" w:rsidR="00130397" w:rsidRPr="00E2117E" w:rsidRDefault="00130397" w:rsidP="00130397">
                  <w:pPr>
                    <w:spacing w:after="0" w:line="240" w:lineRule="auto"/>
                    <w:rPr>
                      <w:rFonts w:ascii="Calibri" w:hAnsi="Calibri"/>
                      <w:color w:val="000000"/>
                      <w:sz w:val="18"/>
                      <w:lang w:eastAsia="en-AU"/>
                    </w:rPr>
                  </w:pPr>
                </w:p>
              </w:tc>
              <w:tc>
                <w:tcPr>
                  <w:tcW w:w="750" w:type="dxa"/>
                  <w:tcBorders>
                    <w:top w:val="nil"/>
                    <w:left w:val="nil"/>
                    <w:bottom w:val="single" w:sz="4" w:space="0" w:color="auto"/>
                    <w:right w:val="single" w:sz="4" w:space="0" w:color="auto"/>
                  </w:tcBorders>
                  <w:shd w:val="clear" w:color="auto" w:fill="auto"/>
                  <w:noWrap/>
                  <w:vAlign w:val="bottom"/>
                </w:tcPr>
                <w:p w14:paraId="6D572759" w14:textId="77777777" w:rsidR="00130397" w:rsidRPr="00E2117E" w:rsidRDefault="00130397" w:rsidP="00130397">
                  <w:pPr>
                    <w:spacing w:after="0" w:line="240" w:lineRule="auto"/>
                    <w:rPr>
                      <w:rFonts w:ascii="Calibri" w:hAnsi="Calibri"/>
                      <w:color w:val="000000"/>
                      <w:sz w:val="18"/>
                      <w:lang w:eastAsia="en-AU"/>
                    </w:rPr>
                  </w:pPr>
                </w:p>
              </w:tc>
            </w:tr>
            <w:tr w:rsidR="00130397" w:rsidRPr="00E2117E" w14:paraId="0809DD8A" w14:textId="77777777" w:rsidTr="00130397">
              <w:trPr>
                <w:trHeight w:val="288"/>
              </w:trPr>
              <w:tc>
                <w:tcPr>
                  <w:tcW w:w="1363" w:type="dxa"/>
                  <w:tcBorders>
                    <w:top w:val="nil"/>
                    <w:left w:val="nil"/>
                    <w:bottom w:val="single" w:sz="4" w:space="0" w:color="auto"/>
                    <w:right w:val="single" w:sz="4" w:space="0" w:color="auto"/>
                  </w:tcBorders>
                  <w:shd w:val="clear" w:color="auto" w:fill="auto"/>
                  <w:noWrap/>
                  <w:vAlign w:val="bottom"/>
                </w:tcPr>
                <w:p w14:paraId="27478F97" w14:textId="77777777" w:rsidR="00130397" w:rsidRPr="00E2117E" w:rsidRDefault="00130397" w:rsidP="00130397">
                  <w:pPr>
                    <w:spacing w:after="0" w:line="240" w:lineRule="auto"/>
                    <w:rPr>
                      <w:rFonts w:ascii="Calibri" w:hAnsi="Calibri"/>
                      <w:color w:val="000000"/>
                      <w:sz w:val="18"/>
                      <w:lang w:eastAsia="en-AU"/>
                    </w:rPr>
                  </w:pPr>
                </w:p>
              </w:tc>
              <w:tc>
                <w:tcPr>
                  <w:tcW w:w="825" w:type="dxa"/>
                  <w:tcBorders>
                    <w:top w:val="nil"/>
                    <w:left w:val="nil"/>
                    <w:bottom w:val="single" w:sz="4" w:space="0" w:color="auto"/>
                    <w:right w:val="single" w:sz="4" w:space="0" w:color="auto"/>
                  </w:tcBorders>
                  <w:shd w:val="clear" w:color="auto" w:fill="auto"/>
                  <w:noWrap/>
                  <w:vAlign w:val="bottom"/>
                </w:tcPr>
                <w:p w14:paraId="7F5C52A4" w14:textId="77777777" w:rsidR="00130397" w:rsidRPr="00E2117E" w:rsidRDefault="00130397" w:rsidP="00130397">
                  <w:pPr>
                    <w:spacing w:after="0" w:line="240" w:lineRule="auto"/>
                    <w:rPr>
                      <w:rFonts w:ascii="Calibri" w:hAnsi="Calibri"/>
                      <w:color w:val="000000"/>
                      <w:sz w:val="18"/>
                      <w:lang w:eastAsia="en-AU"/>
                    </w:rPr>
                  </w:pPr>
                </w:p>
              </w:tc>
              <w:tc>
                <w:tcPr>
                  <w:tcW w:w="825" w:type="dxa"/>
                  <w:tcBorders>
                    <w:top w:val="nil"/>
                    <w:left w:val="nil"/>
                    <w:bottom w:val="single" w:sz="4" w:space="0" w:color="auto"/>
                    <w:right w:val="single" w:sz="4" w:space="0" w:color="auto"/>
                  </w:tcBorders>
                  <w:shd w:val="clear" w:color="auto" w:fill="auto"/>
                  <w:noWrap/>
                  <w:vAlign w:val="bottom"/>
                </w:tcPr>
                <w:p w14:paraId="13DB6607" w14:textId="77777777" w:rsidR="00130397" w:rsidRPr="00E2117E" w:rsidRDefault="00130397" w:rsidP="00130397">
                  <w:pPr>
                    <w:spacing w:after="0" w:line="240" w:lineRule="auto"/>
                    <w:rPr>
                      <w:rFonts w:ascii="Calibri" w:hAnsi="Calibri"/>
                      <w:color w:val="000000"/>
                      <w:sz w:val="18"/>
                      <w:lang w:eastAsia="en-AU"/>
                    </w:rPr>
                  </w:pPr>
                </w:p>
              </w:tc>
              <w:tc>
                <w:tcPr>
                  <w:tcW w:w="712" w:type="dxa"/>
                  <w:tcBorders>
                    <w:top w:val="nil"/>
                    <w:left w:val="nil"/>
                    <w:bottom w:val="single" w:sz="4" w:space="0" w:color="auto"/>
                    <w:right w:val="single" w:sz="4" w:space="0" w:color="auto"/>
                  </w:tcBorders>
                  <w:shd w:val="clear" w:color="auto" w:fill="auto"/>
                  <w:noWrap/>
                  <w:vAlign w:val="bottom"/>
                </w:tcPr>
                <w:p w14:paraId="62E5C52D" w14:textId="77777777" w:rsidR="00130397" w:rsidRPr="00E2117E" w:rsidRDefault="00130397" w:rsidP="00130397">
                  <w:pPr>
                    <w:spacing w:after="0" w:line="240" w:lineRule="auto"/>
                    <w:rPr>
                      <w:rFonts w:ascii="Calibri" w:hAnsi="Calibri"/>
                      <w:color w:val="000000"/>
                      <w:sz w:val="18"/>
                      <w:lang w:eastAsia="en-AU"/>
                    </w:rPr>
                  </w:pPr>
                </w:p>
              </w:tc>
              <w:tc>
                <w:tcPr>
                  <w:tcW w:w="912" w:type="dxa"/>
                  <w:tcBorders>
                    <w:top w:val="nil"/>
                    <w:left w:val="nil"/>
                    <w:bottom w:val="single" w:sz="4" w:space="0" w:color="auto"/>
                    <w:right w:val="single" w:sz="4" w:space="0" w:color="auto"/>
                  </w:tcBorders>
                  <w:shd w:val="clear" w:color="auto" w:fill="auto"/>
                  <w:noWrap/>
                  <w:vAlign w:val="bottom"/>
                </w:tcPr>
                <w:p w14:paraId="23CA36C0" w14:textId="77777777" w:rsidR="00130397" w:rsidRPr="00E2117E" w:rsidRDefault="00130397" w:rsidP="00130397">
                  <w:pPr>
                    <w:spacing w:after="0" w:line="240" w:lineRule="auto"/>
                    <w:rPr>
                      <w:rFonts w:ascii="Calibri" w:hAnsi="Calibri"/>
                      <w:color w:val="000000"/>
                      <w:sz w:val="18"/>
                      <w:lang w:eastAsia="en-AU"/>
                    </w:rPr>
                  </w:pPr>
                </w:p>
              </w:tc>
              <w:tc>
                <w:tcPr>
                  <w:tcW w:w="1068" w:type="dxa"/>
                  <w:tcBorders>
                    <w:top w:val="nil"/>
                    <w:left w:val="nil"/>
                    <w:bottom w:val="single" w:sz="4" w:space="0" w:color="auto"/>
                    <w:right w:val="single" w:sz="4" w:space="0" w:color="auto"/>
                  </w:tcBorders>
                  <w:shd w:val="clear" w:color="auto" w:fill="auto"/>
                  <w:noWrap/>
                  <w:vAlign w:val="bottom"/>
                </w:tcPr>
                <w:p w14:paraId="1FA330B4" w14:textId="77777777" w:rsidR="00130397" w:rsidRPr="00E2117E" w:rsidRDefault="00130397" w:rsidP="00130397">
                  <w:pPr>
                    <w:spacing w:after="0" w:line="240" w:lineRule="auto"/>
                    <w:rPr>
                      <w:rFonts w:ascii="Calibri" w:hAnsi="Calibri"/>
                      <w:color w:val="000000"/>
                      <w:sz w:val="18"/>
                      <w:lang w:eastAsia="en-AU"/>
                    </w:rPr>
                  </w:pPr>
                </w:p>
              </w:tc>
              <w:tc>
                <w:tcPr>
                  <w:tcW w:w="1068" w:type="dxa"/>
                  <w:tcBorders>
                    <w:top w:val="nil"/>
                    <w:left w:val="nil"/>
                    <w:bottom w:val="single" w:sz="4" w:space="0" w:color="auto"/>
                    <w:right w:val="single" w:sz="4" w:space="0" w:color="auto"/>
                  </w:tcBorders>
                  <w:shd w:val="clear" w:color="auto" w:fill="auto"/>
                  <w:noWrap/>
                  <w:vAlign w:val="bottom"/>
                </w:tcPr>
                <w:p w14:paraId="529031C5" w14:textId="77777777" w:rsidR="00130397" w:rsidRPr="00E2117E" w:rsidRDefault="00130397" w:rsidP="00130397">
                  <w:pPr>
                    <w:spacing w:after="0" w:line="240" w:lineRule="auto"/>
                    <w:rPr>
                      <w:rFonts w:ascii="Calibri" w:hAnsi="Calibri"/>
                      <w:color w:val="000000"/>
                      <w:sz w:val="18"/>
                      <w:lang w:eastAsia="en-AU"/>
                    </w:rPr>
                  </w:pPr>
                </w:p>
              </w:tc>
              <w:tc>
                <w:tcPr>
                  <w:tcW w:w="711" w:type="dxa"/>
                  <w:tcBorders>
                    <w:top w:val="nil"/>
                    <w:left w:val="nil"/>
                    <w:bottom w:val="single" w:sz="4" w:space="0" w:color="auto"/>
                    <w:right w:val="single" w:sz="4" w:space="0" w:color="auto"/>
                  </w:tcBorders>
                  <w:shd w:val="clear" w:color="auto" w:fill="auto"/>
                  <w:noWrap/>
                  <w:vAlign w:val="bottom"/>
                </w:tcPr>
                <w:p w14:paraId="00D23E3E" w14:textId="77777777" w:rsidR="00130397" w:rsidRPr="00E2117E" w:rsidRDefault="00130397" w:rsidP="00130397">
                  <w:pPr>
                    <w:spacing w:after="0" w:line="240" w:lineRule="auto"/>
                    <w:rPr>
                      <w:rFonts w:ascii="Calibri" w:hAnsi="Calibri"/>
                      <w:color w:val="000000"/>
                      <w:sz w:val="18"/>
                      <w:lang w:eastAsia="en-AU"/>
                    </w:rPr>
                  </w:pPr>
                </w:p>
              </w:tc>
              <w:tc>
                <w:tcPr>
                  <w:tcW w:w="912" w:type="dxa"/>
                  <w:tcBorders>
                    <w:top w:val="nil"/>
                    <w:left w:val="nil"/>
                    <w:bottom w:val="single" w:sz="4" w:space="0" w:color="auto"/>
                    <w:right w:val="single" w:sz="4" w:space="0" w:color="auto"/>
                  </w:tcBorders>
                  <w:shd w:val="clear" w:color="auto" w:fill="auto"/>
                  <w:noWrap/>
                  <w:vAlign w:val="bottom"/>
                </w:tcPr>
                <w:p w14:paraId="1CAA84AD" w14:textId="77777777" w:rsidR="00130397" w:rsidRPr="00E2117E" w:rsidRDefault="00130397" w:rsidP="00130397">
                  <w:pPr>
                    <w:spacing w:after="0" w:line="240" w:lineRule="auto"/>
                    <w:rPr>
                      <w:rFonts w:ascii="Calibri" w:hAnsi="Calibri"/>
                      <w:color w:val="000000"/>
                      <w:sz w:val="18"/>
                      <w:lang w:eastAsia="en-AU"/>
                    </w:rPr>
                  </w:pPr>
                </w:p>
              </w:tc>
              <w:tc>
                <w:tcPr>
                  <w:tcW w:w="984" w:type="dxa"/>
                  <w:tcBorders>
                    <w:top w:val="nil"/>
                    <w:left w:val="nil"/>
                    <w:bottom w:val="single" w:sz="4" w:space="0" w:color="auto"/>
                    <w:right w:val="single" w:sz="4" w:space="0" w:color="auto"/>
                  </w:tcBorders>
                  <w:shd w:val="clear" w:color="auto" w:fill="auto"/>
                  <w:noWrap/>
                  <w:vAlign w:val="bottom"/>
                </w:tcPr>
                <w:p w14:paraId="54B0A482" w14:textId="77777777" w:rsidR="00130397" w:rsidRPr="00E2117E" w:rsidRDefault="00130397" w:rsidP="00130397">
                  <w:pPr>
                    <w:spacing w:after="0" w:line="240" w:lineRule="auto"/>
                    <w:rPr>
                      <w:rFonts w:ascii="Calibri" w:hAnsi="Calibri"/>
                      <w:color w:val="000000"/>
                      <w:sz w:val="18"/>
                      <w:lang w:eastAsia="en-AU"/>
                    </w:rPr>
                  </w:pPr>
                </w:p>
              </w:tc>
              <w:tc>
                <w:tcPr>
                  <w:tcW w:w="750" w:type="dxa"/>
                  <w:tcBorders>
                    <w:top w:val="nil"/>
                    <w:left w:val="nil"/>
                    <w:bottom w:val="single" w:sz="4" w:space="0" w:color="auto"/>
                    <w:right w:val="single" w:sz="4" w:space="0" w:color="auto"/>
                  </w:tcBorders>
                  <w:shd w:val="clear" w:color="auto" w:fill="auto"/>
                  <w:noWrap/>
                  <w:vAlign w:val="bottom"/>
                </w:tcPr>
                <w:p w14:paraId="17A3F565" w14:textId="77777777" w:rsidR="00130397" w:rsidRPr="00E2117E" w:rsidRDefault="00130397" w:rsidP="00130397">
                  <w:pPr>
                    <w:spacing w:after="0" w:line="240" w:lineRule="auto"/>
                    <w:rPr>
                      <w:rFonts w:ascii="Calibri" w:hAnsi="Calibri"/>
                      <w:color w:val="000000"/>
                      <w:sz w:val="18"/>
                      <w:lang w:eastAsia="en-AU"/>
                    </w:rPr>
                  </w:pPr>
                </w:p>
              </w:tc>
            </w:tr>
          </w:tbl>
          <w:p w14:paraId="7D84B34C" w14:textId="77777777" w:rsidR="00130397" w:rsidRPr="000521D7" w:rsidRDefault="00130397" w:rsidP="00130397">
            <w:pPr>
              <w:tabs>
                <w:tab w:val="left" w:pos="660"/>
                <w:tab w:val="right" w:leader="dot" w:pos="9063"/>
              </w:tabs>
              <w:spacing w:before="100" w:beforeAutospacing="1" w:after="100" w:afterAutospacing="1" w:line="0" w:lineRule="atLeast"/>
              <w:rPr>
                <w:b/>
                <w:noProof/>
              </w:rPr>
            </w:pPr>
          </w:p>
        </w:tc>
      </w:tr>
    </w:tbl>
    <w:p w14:paraId="39950582" w14:textId="69ABDCF7" w:rsidR="00130397" w:rsidRPr="00130397" w:rsidRDefault="00130397" w:rsidP="00130397">
      <w:r>
        <w:br w:type="page"/>
      </w:r>
    </w:p>
    <w:p w14:paraId="3232B48A" w14:textId="5104713E" w:rsidR="00C26D63" w:rsidRPr="00F719B8" w:rsidRDefault="00C26D63" w:rsidP="00DE7FE2">
      <w:pPr>
        <w:pStyle w:val="Heading1"/>
        <w:spacing w:before="0"/>
        <w:jc w:val="both"/>
      </w:pPr>
      <w:bookmarkStart w:id="53" w:name="_Toc21443870"/>
      <w:r w:rsidRPr="00F719B8">
        <w:t>References</w:t>
      </w:r>
      <w:bookmarkEnd w:id="53"/>
    </w:p>
    <w:sectPr w:rsidR="00C26D63" w:rsidRPr="00F719B8" w:rsidSect="008307CF">
      <w:endnotePr>
        <w:numFmt w:val="decimal"/>
      </w:endnotePr>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0CB737" w14:textId="77777777" w:rsidR="00130397" w:rsidRDefault="00130397" w:rsidP="00843660">
      <w:pPr>
        <w:spacing w:after="0" w:line="240" w:lineRule="auto"/>
      </w:pPr>
      <w:r>
        <w:separator/>
      </w:r>
    </w:p>
  </w:endnote>
  <w:endnote w:type="continuationSeparator" w:id="0">
    <w:p w14:paraId="23B94023" w14:textId="77777777" w:rsidR="00130397" w:rsidRDefault="00130397" w:rsidP="00843660">
      <w:pPr>
        <w:spacing w:after="0" w:line="240" w:lineRule="auto"/>
      </w:pPr>
      <w:r>
        <w:continuationSeparator/>
      </w:r>
    </w:p>
  </w:endnote>
  <w:endnote w:id="1">
    <w:p w14:paraId="785F84F5" w14:textId="704FDFB4" w:rsidR="00130397" w:rsidRPr="002D30E7" w:rsidRDefault="00130397" w:rsidP="00D841A8">
      <w:pPr>
        <w:autoSpaceDE w:val="0"/>
        <w:autoSpaceDN w:val="0"/>
        <w:adjustRightInd w:val="0"/>
        <w:spacing w:after="0" w:line="240" w:lineRule="auto"/>
        <w:mirrorIndents/>
        <w:rPr>
          <w:rFonts w:cstheme="minorHAnsi"/>
          <w:lang w:val="en-AU"/>
        </w:rPr>
      </w:pPr>
      <w:r w:rsidRPr="000F5E74">
        <w:rPr>
          <w:rStyle w:val="EndnoteReference"/>
          <w:rFonts w:cstheme="minorHAnsi"/>
        </w:rPr>
        <w:endnoteRef/>
      </w:r>
      <w:r w:rsidRPr="000F5E74">
        <w:rPr>
          <w:rFonts w:cstheme="minorHAnsi"/>
        </w:rPr>
        <w:t xml:space="preserve"> </w:t>
      </w:r>
      <w:r w:rsidRPr="002D30E7">
        <w:rPr>
          <w:rFonts w:cstheme="minorHAnsi"/>
          <w:lang w:val="en-AU"/>
        </w:rPr>
        <w:t>Australian Institute of Health and Welfare 2018. Hip fracture incidence and hospitalisations in Australia 2015–16. Cat. no. PHE 226. Canberra: AIHW.</w:t>
      </w:r>
    </w:p>
    <w:p w14:paraId="4345E7B0" w14:textId="77777777" w:rsidR="00130397" w:rsidRPr="002D30E7" w:rsidRDefault="00130397" w:rsidP="00D841A8">
      <w:pPr>
        <w:autoSpaceDE w:val="0"/>
        <w:autoSpaceDN w:val="0"/>
        <w:adjustRightInd w:val="0"/>
        <w:spacing w:after="0" w:line="240" w:lineRule="auto"/>
        <w:mirrorIndents/>
        <w:rPr>
          <w:rFonts w:cstheme="minorHAnsi"/>
          <w:lang w:val="en-AU"/>
        </w:rPr>
      </w:pPr>
    </w:p>
  </w:endnote>
  <w:endnote w:id="2">
    <w:p w14:paraId="3071ADA7" w14:textId="77777777" w:rsidR="00130397" w:rsidRPr="002D30E7" w:rsidRDefault="00130397" w:rsidP="00D841A8">
      <w:pPr>
        <w:pStyle w:val="EndNoteBibliography"/>
        <w:spacing w:after="0"/>
        <w:mirrorIndents/>
        <w:rPr>
          <w:rFonts w:asciiTheme="minorHAnsi" w:hAnsiTheme="minorHAnsi" w:cstheme="minorHAnsi"/>
        </w:rPr>
      </w:pPr>
      <w:r w:rsidRPr="002D30E7">
        <w:rPr>
          <w:rStyle w:val="EndnoteReference"/>
          <w:rFonts w:asciiTheme="minorHAnsi" w:hAnsiTheme="minorHAnsi" w:cstheme="minorHAnsi"/>
        </w:rPr>
        <w:endnoteRef/>
      </w:r>
      <w:r w:rsidRPr="002D30E7">
        <w:rPr>
          <w:rFonts w:asciiTheme="minorHAnsi" w:hAnsiTheme="minorHAnsi" w:cstheme="minorHAnsi"/>
        </w:rPr>
        <w:t xml:space="preserve"> Osnes EK, Lofthus CM, Meyer HE, et al. Consequences of hip fracture on activities of daily life and residential needs. </w:t>
      </w:r>
      <w:r w:rsidRPr="002D30E7">
        <w:rPr>
          <w:rFonts w:asciiTheme="minorHAnsi" w:hAnsiTheme="minorHAnsi" w:cstheme="minorHAnsi"/>
          <w:i/>
        </w:rPr>
        <w:t xml:space="preserve">Osteoporos Int. </w:t>
      </w:r>
      <w:r w:rsidRPr="002D30E7">
        <w:rPr>
          <w:rFonts w:asciiTheme="minorHAnsi" w:hAnsiTheme="minorHAnsi" w:cstheme="minorHAnsi"/>
        </w:rPr>
        <w:t>Jul 2004;15(7):567-574.</w:t>
      </w:r>
    </w:p>
    <w:p w14:paraId="2FA92124" w14:textId="0DA27E41" w:rsidR="00130397" w:rsidRPr="002D30E7" w:rsidRDefault="00130397" w:rsidP="00D841A8">
      <w:pPr>
        <w:pStyle w:val="EndnoteText"/>
        <w:mirrorIndents/>
        <w:rPr>
          <w:rFonts w:cstheme="minorHAnsi"/>
          <w:sz w:val="22"/>
          <w:szCs w:val="22"/>
          <w:lang w:val="en-AU"/>
        </w:rPr>
      </w:pPr>
    </w:p>
  </w:endnote>
  <w:endnote w:id="3">
    <w:p w14:paraId="071A79BE" w14:textId="114F4FE8" w:rsidR="00130397" w:rsidRPr="002D30E7" w:rsidRDefault="00130397" w:rsidP="00D841A8">
      <w:pPr>
        <w:pStyle w:val="EndnoteText"/>
        <w:mirrorIndents/>
        <w:rPr>
          <w:rFonts w:cstheme="minorHAnsi"/>
          <w:sz w:val="22"/>
          <w:szCs w:val="22"/>
        </w:rPr>
      </w:pPr>
      <w:r w:rsidRPr="002D30E7">
        <w:rPr>
          <w:rStyle w:val="EndnoteReference"/>
          <w:rFonts w:cstheme="minorHAnsi"/>
          <w:sz w:val="22"/>
          <w:szCs w:val="22"/>
        </w:rPr>
        <w:endnoteRef/>
      </w:r>
      <w:r w:rsidRPr="002D30E7">
        <w:rPr>
          <w:rFonts w:cstheme="minorHAnsi"/>
          <w:sz w:val="22"/>
          <w:szCs w:val="22"/>
        </w:rPr>
        <w:t xml:space="preserve"> Magaziner J, Simonsick EM, Kashner TM, Hebel JR, Kenzora JE. Predictors of functional recovery one year following hospital discharge for hip fracture: a prospective study. </w:t>
      </w:r>
      <w:r w:rsidRPr="002D30E7">
        <w:rPr>
          <w:rFonts w:cstheme="minorHAnsi"/>
          <w:i/>
          <w:sz w:val="22"/>
          <w:szCs w:val="22"/>
        </w:rPr>
        <w:t xml:space="preserve">J Gerontol. </w:t>
      </w:r>
      <w:r w:rsidRPr="002D30E7">
        <w:rPr>
          <w:rFonts w:cstheme="minorHAnsi"/>
          <w:sz w:val="22"/>
          <w:szCs w:val="22"/>
        </w:rPr>
        <w:t>May 1990;45(3):M101-107.</w:t>
      </w:r>
    </w:p>
    <w:p w14:paraId="394DE0D1" w14:textId="77777777" w:rsidR="00130397" w:rsidRPr="002D30E7" w:rsidRDefault="00130397" w:rsidP="00D841A8">
      <w:pPr>
        <w:pStyle w:val="EndnoteText"/>
        <w:mirrorIndents/>
        <w:rPr>
          <w:rFonts w:cstheme="minorHAnsi"/>
          <w:sz w:val="22"/>
          <w:szCs w:val="22"/>
        </w:rPr>
      </w:pPr>
    </w:p>
  </w:endnote>
  <w:endnote w:id="4">
    <w:p w14:paraId="3664EA57" w14:textId="363E3870" w:rsidR="00130397" w:rsidRPr="002D30E7" w:rsidRDefault="00130397" w:rsidP="00D841A8">
      <w:pPr>
        <w:pStyle w:val="EndnoteText"/>
        <w:mirrorIndents/>
        <w:rPr>
          <w:rFonts w:cstheme="minorHAnsi"/>
          <w:sz w:val="22"/>
          <w:szCs w:val="22"/>
        </w:rPr>
      </w:pPr>
      <w:r w:rsidRPr="002D30E7">
        <w:rPr>
          <w:rStyle w:val="EndnoteReference"/>
          <w:rFonts w:cstheme="minorHAnsi"/>
          <w:sz w:val="22"/>
          <w:szCs w:val="22"/>
        </w:rPr>
        <w:endnoteRef/>
      </w:r>
      <w:r w:rsidRPr="002D30E7">
        <w:rPr>
          <w:rFonts w:cstheme="minorHAnsi"/>
          <w:sz w:val="22"/>
          <w:szCs w:val="22"/>
        </w:rPr>
        <w:t xml:space="preserve"> Cooper C. The crippling consequences of fractures and their impact on quality of life. </w:t>
      </w:r>
      <w:r w:rsidRPr="002D30E7">
        <w:rPr>
          <w:rFonts w:cstheme="minorHAnsi"/>
          <w:i/>
          <w:sz w:val="22"/>
          <w:szCs w:val="22"/>
        </w:rPr>
        <w:t>Am J Med.</w:t>
      </w:r>
      <w:r>
        <w:rPr>
          <w:rFonts w:cstheme="minorHAnsi"/>
          <w:i/>
          <w:sz w:val="22"/>
          <w:szCs w:val="22"/>
        </w:rPr>
        <w:t xml:space="preserve"> </w:t>
      </w:r>
      <w:r w:rsidRPr="002D30E7">
        <w:rPr>
          <w:rFonts w:cstheme="minorHAnsi"/>
          <w:sz w:val="22"/>
          <w:szCs w:val="22"/>
        </w:rPr>
        <w:t>Aug 18 1997;103(2A):12S-17S; discussion 17S-19S.</w:t>
      </w:r>
    </w:p>
    <w:p w14:paraId="1E8C2253" w14:textId="5560EB5D" w:rsidR="00130397" w:rsidRPr="002D30E7" w:rsidRDefault="00130397" w:rsidP="00D841A8">
      <w:pPr>
        <w:pStyle w:val="EndnoteText"/>
        <w:mirrorIndents/>
        <w:rPr>
          <w:rFonts w:cstheme="minorHAnsi"/>
          <w:sz w:val="22"/>
          <w:szCs w:val="22"/>
          <w:lang w:val="en-AU"/>
        </w:rPr>
      </w:pPr>
    </w:p>
  </w:endnote>
  <w:endnote w:id="5">
    <w:p w14:paraId="216D753A" w14:textId="77777777" w:rsidR="00130397" w:rsidRPr="002D30E7" w:rsidRDefault="00130397" w:rsidP="00D841A8">
      <w:pPr>
        <w:pStyle w:val="EndNoteBibliography"/>
        <w:spacing w:after="0"/>
        <w:mirrorIndents/>
        <w:rPr>
          <w:rFonts w:asciiTheme="minorHAnsi" w:hAnsiTheme="minorHAnsi" w:cstheme="minorHAnsi"/>
        </w:rPr>
      </w:pPr>
      <w:r w:rsidRPr="002D30E7">
        <w:rPr>
          <w:rStyle w:val="EndnoteReference"/>
          <w:rFonts w:asciiTheme="minorHAnsi" w:hAnsiTheme="minorHAnsi" w:cstheme="minorHAnsi"/>
        </w:rPr>
        <w:endnoteRef/>
      </w:r>
      <w:r w:rsidRPr="002D30E7">
        <w:rPr>
          <w:rFonts w:asciiTheme="minorHAnsi" w:hAnsiTheme="minorHAnsi" w:cstheme="minorHAnsi"/>
        </w:rPr>
        <w:t xml:space="preserve"> Lystad R, Cameron C &amp; Mitchell R 2017. Mortality risk among older Australians hospitalised with hip fracture: a population-based matched cohort study. Archives of Osteoporosis 12(1):67.</w:t>
      </w:r>
    </w:p>
    <w:p w14:paraId="4431B583" w14:textId="12B703E9" w:rsidR="00130397" w:rsidRPr="002D30E7" w:rsidRDefault="00130397" w:rsidP="00D841A8">
      <w:pPr>
        <w:pStyle w:val="EndnoteText"/>
        <w:mirrorIndents/>
        <w:rPr>
          <w:rFonts w:cstheme="minorHAnsi"/>
          <w:sz w:val="22"/>
          <w:szCs w:val="22"/>
          <w:lang w:val="en-AU"/>
        </w:rPr>
      </w:pPr>
    </w:p>
  </w:endnote>
  <w:endnote w:id="6">
    <w:p w14:paraId="204380F7" w14:textId="79D7FAEE" w:rsidR="00130397" w:rsidRPr="002D30E7" w:rsidRDefault="00130397" w:rsidP="00D841A8">
      <w:pPr>
        <w:pStyle w:val="EndNoteBibliography"/>
        <w:spacing w:after="0"/>
        <w:mirrorIndents/>
        <w:rPr>
          <w:rFonts w:asciiTheme="minorHAnsi" w:hAnsiTheme="minorHAnsi" w:cstheme="minorHAnsi"/>
        </w:rPr>
      </w:pPr>
      <w:r w:rsidRPr="002D30E7">
        <w:rPr>
          <w:rStyle w:val="EndnoteReference"/>
          <w:rFonts w:asciiTheme="minorHAnsi" w:hAnsiTheme="minorHAnsi" w:cstheme="minorHAnsi"/>
        </w:rPr>
        <w:endnoteRef/>
      </w:r>
      <w:r w:rsidRPr="002D30E7">
        <w:rPr>
          <w:rFonts w:asciiTheme="minorHAnsi" w:hAnsiTheme="minorHAnsi" w:cstheme="minorHAnsi"/>
        </w:rPr>
        <w:t xml:space="preserve"> Autier P, Haentjens P, Bentin J, et al. Costs induced by hip fractures: a prospective controlled study in Belgium. Belgian Hip Fracture Study Group. </w:t>
      </w:r>
      <w:r w:rsidRPr="002D30E7">
        <w:rPr>
          <w:rFonts w:asciiTheme="minorHAnsi" w:hAnsiTheme="minorHAnsi" w:cstheme="minorHAnsi"/>
          <w:i/>
        </w:rPr>
        <w:t xml:space="preserve">Osteoporos Int. </w:t>
      </w:r>
      <w:r w:rsidRPr="002D30E7">
        <w:rPr>
          <w:rFonts w:asciiTheme="minorHAnsi" w:hAnsiTheme="minorHAnsi" w:cstheme="minorHAnsi"/>
        </w:rPr>
        <w:t>2000;11(5):373-380.</w:t>
      </w:r>
    </w:p>
    <w:p w14:paraId="347C3D36" w14:textId="001D4048" w:rsidR="00130397" w:rsidRPr="002D30E7" w:rsidRDefault="00130397" w:rsidP="00D841A8">
      <w:pPr>
        <w:pStyle w:val="EndnoteText"/>
        <w:mirrorIndents/>
        <w:rPr>
          <w:rFonts w:cstheme="minorHAnsi"/>
          <w:sz w:val="22"/>
          <w:szCs w:val="22"/>
          <w:lang w:val="en-AU"/>
        </w:rPr>
      </w:pPr>
    </w:p>
  </w:endnote>
  <w:endnote w:id="7">
    <w:p w14:paraId="27162720" w14:textId="1814CE2B" w:rsidR="00130397" w:rsidRPr="008544BF" w:rsidRDefault="00130397" w:rsidP="00D841A8">
      <w:pPr>
        <w:spacing w:after="0"/>
      </w:pPr>
      <w:r w:rsidRPr="008544BF">
        <w:endnoteRef/>
      </w:r>
      <w:r w:rsidRPr="008544BF">
        <w:t xml:space="preserve"> Kiebzak GM, Beinart GA, Perser K, Ambrose CG, Siff SJ, Heggeness MH. Undertreatment of osteoporosis in men with hip fracture. Arch Intern Med. Oct 28 2002;162(19):2217-2222.</w:t>
      </w:r>
    </w:p>
    <w:p w14:paraId="605B429F" w14:textId="2FA223D1" w:rsidR="00130397" w:rsidRPr="002D30E7" w:rsidRDefault="00130397" w:rsidP="00D841A8">
      <w:pPr>
        <w:pStyle w:val="EndnoteText"/>
        <w:mirrorIndents/>
        <w:rPr>
          <w:rFonts w:cstheme="minorHAnsi"/>
          <w:sz w:val="22"/>
          <w:szCs w:val="22"/>
          <w:lang w:val="en-AU"/>
        </w:rPr>
      </w:pPr>
    </w:p>
  </w:endnote>
  <w:endnote w:id="8">
    <w:p w14:paraId="29C39EF7" w14:textId="77777777" w:rsidR="00130397" w:rsidRPr="002D30E7" w:rsidRDefault="00130397" w:rsidP="00D841A8">
      <w:pPr>
        <w:pStyle w:val="EndNoteBibliography"/>
        <w:spacing w:after="0"/>
        <w:mirrorIndents/>
        <w:rPr>
          <w:rFonts w:asciiTheme="minorHAnsi" w:hAnsiTheme="minorHAnsi" w:cstheme="minorHAnsi"/>
        </w:rPr>
      </w:pPr>
      <w:r w:rsidRPr="002D30E7">
        <w:rPr>
          <w:rStyle w:val="EndnoteReference"/>
          <w:rFonts w:asciiTheme="minorHAnsi" w:hAnsiTheme="minorHAnsi" w:cstheme="minorHAnsi"/>
        </w:rPr>
        <w:endnoteRef/>
      </w:r>
      <w:r w:rsidRPr="002D30E7">
        <w:rPr>
          <w:rFonts w:asciiTheme="minorHAnsi" w:hAnsiTheme="minorHAnsi" w:cstheme="minorHAnsi"/>
        </w:rPr>
        <w:t xml:space="preserve"> Roberts SE, Goldacre MJ. Time trends and demography of mortality after fractured neck of femur in an English population, 1968-98: database study. </w:t>
      </w:r>
      <w:r w:rsidRPr="002D30E7">
        <w:rPr>
          <w:rFonts w:asciiTheme="minorHAnsi" w:hAnsiTheme="minorHAnsi" w:cstheme="minorHAnsi"/>
          <w:i/>
        </w:rPr>
        <w:t xml:space="preserve">BMJ. </w:t>
      </w:r>
      <w:r w:rsidRPr="002D30E7">
        <w:rPr>
          <w:rFonts w:asciiTheme="minorHAnsi" w:hAnsiTheme="minorHAnsi" w:cstheme="minorHAnsi"/>
        </w:rPr>
        <w:t>Oct 4 2003;327(7418):771-775.</w:t>
      </w:r>
    </w:p>
    <w:p w14:paraId="3CC76885" w14:textId="5E0F48AA" w:rsidR="00130397" w:rsidRPr="002D30E7" w:rsidRDefault="00130397" w:rsidP="00D841A8">
      <w:pPr>
        <w:pStyle w:val="EndnoteText"/>
        <w:mirrorIndents/>
        <w:rPr>
          <w:rFonts w:cstheme="minorHAnsi"/>
          <w:sz w:val="22"/>
          <w:szCs w:val="22"/>
          <w:lang w:val="en-AU"/>
        </w:rPr>
      </w:pPr>
    </w:p>
  </w:endnote>
  <w:endnote w:id="9">
    <w:p w14:paraId="4A6A7510" w14:textId="188756DB" w:rsidR="00130397" w:rsidRPr="002D30E7" w:rsidRDefault="00130397" w:rsidP="00D841A8">
      <w:pPr>
        <w:pStyle w:val="EndNoteBibliography"/>
        <w:spacing w:after="0"/>
        <w:mirrorIndents/>
        <w:rPr>
          <w:rFonts w:asciiTheme="minorHAnsi" w:hAnsiTheme="minorHAnsi" w:cstheme="minorHAnsi"/>
        </w:rPr>
      </w:pPr>
      <w:r w:rsidRPr="002D30E7">
        <w:rPr>
          <w:rStyle w:val="EndnoteReference"/>
          <w:rFonts w:asciiTheme="minorHAnsi" w:hAnsiTheme="minorHAnsi" w:cstheme="minorHAnsi"/>
        </w:rPr>
        <w:endnoteRef/>
      </w:r>
      <w:r w:rsidRPr="002D30E7">
        <w:rPr>
          <w:rFonts w:asciiTheme="minorHAnsi" w:hAnsiTheme="minorHAnsi" w:cstheme="minorHAnsi"/>
        </w:rPr>
        <w:t xml:space="preserve"> Australian Institute of Health and Welfare 2016. Australian Burden of Disease Study: Impact and causes of illness and death in Australia 2011. Australian Burden of Disease Study series no. 3. BOD 4. Canberra: AIHW.</w:t>
      </w:r>
    </w:p>
    <w:p w14:paraId="40F5562F" w14:textId="327404C1" w:rsidR="00130397" w:rsidRPr="002D30E7" w:rsidRDefault="00130397" w:rsidP="00D841A8">
      <w:pPr>
        <w:pStyle w:val="EndnoteText"/>
        <w:mirrorIndents/>
        <w:rPr>
          <w:rFonts w:cstheme="minorHAnsi"/>
          <w:sz w:val="22"/>
          <w:szCs w:val="22"/>
          <w:lang w:val="en-AU"/>
        </w:rPr>
      </w:pPr>
    </w:p>
  </w:endnote>
  <w:endnote w:id="10">
    <w:p w14:paraId="49EFA323" w14:textId="77777777" w:rsidR="00130397" w:rsidRPr="002D30E7" w:rsidRDefault="00130397" w:rsidP="00D841A8">
      <w:pPr>
        <w:pStyle w:val="EndNoteBibliography"/>
        <w:spacing w:after="0"/>
        <w:mirrorIndents/>
        <w:rPr>
          <w:rFonts w:asciiTheme="minorHAnsi" w:hAnsiTheme="minorHAnsi" w:cstheme="minorHAnsi"/>
        </w:rPr>
      </w:pPr>
      <w:r w:rsidRPr="002D30E7">
        <w:rPr>
          <w:rStyle w:val="EndnoteReference"/>
          <w:rFonts w:asciiTheme="minorHAnsi" w:hAnsiTheme="minorHAnsi" w:cstheme="minorHAnsi"/>
        </w:rPr>
        <w:endnoteRef/>
      </w:r>
      <w:r w:rsidRPr="002D30E7">
        <w:rPr>
          <w:rFonts w:asciiTheme="minorHAnsi" w:hAnsiTheme="minorHAnsi" w:cstheme="minorHAnsi"/>
        </w:rPr>
        <w:t xml:space="preserve"> Stephens A, Toson B &amp; Close J 2014. Current and future burden of incident hip fractures in New South Wales, Australia. Archives of Oseoporosis 9:200</w:t>
      </w:r>
    </w:p>
    <w:p w14:paraId="5FFB17F9" w14:textId="17383063" w:rsidR="00130397" w:rsidRPr="002D30E7" w:rsidRDefault="00130397" w:rsidP="00D841A8">
      <w:pPr>
        <w:pStyle w:val="EndnoteText"/>
        <w:mirrorIndents/>
        <w:rPr>
          <w:rFonts w:cstheme="minorHAnsi"/>
          <w:sz w:val="22"/>
          <w:szCs w:val="22"/>
          <w:lang w:val="en-AU"/>
        </w:rPr>
      </w:pPr>
    </w:p>
  </w:endnote>
  <w:endnote w:id="11">
    <w:p w14:paraId="41A3865C" w14:textId="77777777" w:rsidR="00130397" w:rsidRPr="002D30E7" w:rsidRDefault="00130397" w:rsidP="00D841A8">
      <w:pPr>
        <w:pStyle w:val="EndNoteBibliography"/>
        <w:spacing w:after="0"/>
        <w:mirrorIndents/>
        <w:rPr>
          <w:rFonts w:asciiTheme="minorHAnsi" w:hAnsiTheme="minorHAnsi" w:cstheme="minorHAnsi"/>
        </w:rPr>
      </w:pPr>
      <w:r w:rsidRPr="002D30E7">
        <w:rPr>
          <w:rStyle w:val="EndnoteReference"/>
          <w:rFonts w:asciiTheme="minorHAnsi" w:hAnsiTheme="minorHAnsi" w:cstheme="minorHAnsi"/>
        </w:rPr>
        <w:endnoteRef/>
      </w:r>
      <w:r w:rsidRPr="002D30E7">
        <w:rPr>
          <w:rFonts w:asciiTheme="minorHAnsi" w:hAnsiTheme="minorHAnsi" w:cstheme="minorHAnsi"/>
        </w:rPr>
        <w:t xml:space="preserve"> Watts JJ, Abimanyi-Ochom J &amp; Sanders KM 2013. Osteoporosis costing all Australians: a new burden of disease analysis 2012 to 2022. Glebe: Osteoporosis Australia.</w:t>
      </w:r>
    </w:p>
    <w:p w14:paraId="15A6278A" w14:textId="2D65D44B" w:rsidR="00130397" w:rsidRPr="002D30E7" w:rsidRDefault="00130397" w:rsidP="00D841A8">
      <w:pPr>
        <w:pStyle w:val="EndnoteText"/>
        <w:mirrorIndents/>
        <w:rPr>
          <w:rFonts w:cstheme="minorHAnsi"/>
          <w:sz w:val="22"/>
          <w:szCs w:val="22"/>
          <w:lang w:val="en-AU"/>
        </w:rPr>
      </w:pPr>
    </w:p>
  </w:endnote>
  <w:endnote w:id="12">
    <w:p w14:paraId="1E68EB0F" w14:textId="15CA530A" w:rsidR="00130397" w:rsidRPr="002D30E7" w:rsidRDefault="00130397" w:rsidP="00D841A8">
      <w:pPr>
        <w:pStyle w:val="EndnoteText"/>
        <w:mirrorIndents/>
        <w:rPr>
          <w:rFonts w:cstheme="minorHAnsi"/>
          <w:sz w:val="22"/>
          <w:szCs w:val="22"/>
        </w:rPr>
      </w:pPr>
      <w:r w:rsidRPr="002D30E7">
        <w:rPr>
          <w:rStyle w:val="EndnoteReference"/>
          <w:rFonts w:cstheme="minorHAnsi"/>
          <w:sz w:val="22"/>
          <w:szCs w:val="22"/>
        </w:rPr>
        <w:endnoteRef/>
      </w:r>
      <w:r w:rsidRPr="002D30E7">
        <w:rPr>
          <w:rFonts w:cstheme="minorHAnsi"/>
          <w:sz w:val="22"/>
          <w:szCs w:val="22"/>
        </w:rPr>
        <w:t xml:space="preserve"> British Orthopaedic Association, British Geriatrics Society. </w:t>
      </w:r>
      <w:r w:rsidRPr="002D30E7">
        <w:rPr>
          <w:rFonts w:cstheme="minorHAnsi"/>
          <w:i/>
          <w:sz w:val="22"/>
          <w:szCs w:val="22"/>
        </w:rPr>
        <w:t>The care of patients with fragility fracture</w:t>
      </w:r>
      <w:r w:rsidRPr="002D30E7">
        <w:rPr>
          <w:rFonts w:cstheme="minorHAnsi"/>
          <w:sz w:val="22"/>
          <w:szCs w:val="22"/>
        </w:rPr>
        <w:t xml:space="preserve"> 2007.</w:t>
      </w:r>
    </w:p>
    <w:p w14:paraId="0DE05504" w14:textId="77777777" w:rsidR="00130397" w:rsidRPr="002D30E7" w:rsidRDefault="00130397" w:rsidP="00D841A8">
      <w:pPr>
        <w:pStyle w:val="EndnoteText"/>
        <w:mirrorIndents/>
        <w:rPr>
          <w:rFonts w:cstheme="minorHAnsi"/>
          <w:sz w:val="22"/>
          <w:szCs w:val="22"/>
          <w:lang w:val="en-AU"/>
        </w:rPr>
      </w:pPr>
    </w:p>
  </w:endnote>
  <w:endnote w:id="13">
    <w:p w14:paraId="08DEDB2C" w14:textId="77777777" w:rsidR="00130397" w:rsidRPr="002D30E7" w:rsidRDefault="00130397" w:rsidP="00D841A8">
      <w:pPr>
        <w:pStyle w:val="EndNoteBibliography"/>
        <w:spacing w:after="0"/>
        <w:mirrorIndents/>
        <w:rPr>
          <w:rFonts w:asciiTheme="minorHAnsi" w:hAnsiTheme="minorHAnsi" w:cstheme="minorHAnsi"/>
        </w:rPr>
      </w:pPr>
      <w:r w:rsidRPr="002D30E7">
        <w:rPr>
          <w:rStyle w:val="EndnoteReference"/>
          <w:rFonts w:asciiTheme="minorHAnsi" w:hAnsiTheme="minorHAnsi" w:cstheme="minorHAnsi"/>
        </w:rPr>
        <w:endnoteRef/>
      </w:r>
      <w:r w:rsidRPr="002D30E7">
        <w:rPr>
          <w:rFonts w:asciiTheme="minorHAnsi" w:hAnsiTheme="minorHAnsi" w:cstheme="minorHAnsi"/>
        </w:rPr>
        <w:t xml:space="preserve"> Adunsky A, Arad M, Levi R, Blankstein A, Zeilig G, Mizrachi E. Five-year experience with the 'Sheba' model of comprehensive orthogeriatric care for elderly hip fracture patients. </w:t>
      </w:r>
      <w:r w:rsidRPr="002D30E7">
        <w:rPr>
          <w:rFonts w:asciiTheme="minorHAnsi" w:hAnsiTheme="minorHAnsi" w:cstheme="minorHAnsi"/>
          <w:i/>
        </w:rPr>
        <w:t xml:space="preserve">Disabil Rehabil. </w:t>
      </w:r>
      <w:r w:rsidRPr="002D30E7">
        <w:rPr>
          <w:rFonts w:asciiTheme="minorHAnsi" w:hAnsiTheme="minorHAnsi" w:cstheme="minorHAnsi"/>
        </w:rPr>
        <w:t>Sep 30-Oct 15 2005;27(18-19):1123-1127.</w:t>
      </w:r>
    </w:p>
    <w:p w14:paraId="587BA9E3" w14:textId="4F9EAE97" w:rsidR="00130397" w:rsidRPr="002D30E7" w:rsidRDefault="00130397" w:rsidP="00D841A8">
      <w:pPr>
        <w:pStyle w:val="EndnoteText"/>
        <w:mirrorIndents/>
        <w:rPr>
          <w:rFonts w:cstheme="minorHAnsi"/>
          <w:sz w:val="22"/>
          <w:szCs w:val="22"/>
          <w:lang w:val="en-AU"/>
        </w:rPr>
      </w:pPr>
    </w:p>
  </w:endnote>
  <w:endnote w:id="14">
    <w:p w14:paraId="1F2C4732" w14:textId="57BA67C0" w:rsidR="00130397" w:rsidRPr="002D30E7" w:rsidRDefault="00130397" w:rsidP="00D841A8">
      <w:pPr>
        <w:pStyle w:val="EndnoteText"/>
        <w:mirrorIndents/>
        <w:rPr>
          <w:rFonts w:cstheme="minorHAnsi"/>
          <w:sz w:val="22"/>
          <w:szCs w:val="22"/>
        </w:rPr>
      </w:pPr>
      <w:r w:rsidRPr="002D30E7">
        <w:rPr>
          <w:rStyle w:val="EndnoteReference"/>
          <w:rFonts w:cstheme="minorHAnsi"/>
          <w:sz w:val="22"/>
          <w:szCs w:val="22"/>
        </w:rPr>
        <w:endnoteRef/>
      </w:r>
      <w:r w:rsidRPr="002D30E7">
        <w:rPr>
          <w:rFonts w:cstheme="minorHAnsi"/>
          <w:sz w:val="22"/>
          <w:szCs w:val="22"/>
        </w:rPr>
        <w:t xml:space="preserve"> Heyburn G, Beringer T, Elliott J, Marsh D. Orthogeriatric care in patients with fractures of the proximal femur. </w:t>
      </w:r>
      <w:r w:rsidRPr="002D30E7">
        <w:rPr>
          <w:rFonts w:cstheme="minorHAnsi"/>
          <w:i/>
          <w:sz w:val="22"/>
          <w:szCs w:val="22"/>
        </w:rPr>
        <w:t xml:space="preserve">Clin Orthop Relat Res. </w:t>
      </w:r>
      <w:r w:rsidRPr="002D30E7">
        <w:rPr>
          <w:rFonts w:cstheme="minorHAnsi"/>
          <w:sz w:val="22"/>
          <w:szCs w:val="22"/>
        </w:rPr>
        <w:t>Aug 2004(425):35-43.</w:t>
      </w:r>
    </w:p>
    <w:p w14:paraId="180DFA0E" w14:textId="77777777" w:rsidR="00130397" w:rsidRPr="002D30E7" w:rsidRDefault="00130397" w:rsidP="00D841A8">
      <w:pPr>
        <w:pStyle w:val="EndnoteText"/>
        <w:mirrorIndents/>
        <w:rPr>
          <w:rFonts w:cstheme="minorHAnsi"/>
          <w:sz w:val="22"/>
          <w:szCs w:val="22"/>
          <w:lang w:val="en-AU"/>
        </w:rPr>
      </w:pPr>
    </w:p>
  </w:endnote>
  <w:endnote w:id="15">
    <w:p w14:paraId="2CCA4FAD" w14:textId="74A103CF" w:rsidR="00130397" w:rsidRPr="002D30E7" w:rsidRDefault="00130397" w:rsidP="00D841A8">
      <w:pPr>
        <w:pStyle w:val="EndnoteText"/>
        <w:mirrorIndents/>
        <w:rPr>
          <w:rFonts w:cstheme="minorHAnsi"/>
          <w:sz w:val="22"/>
          <w:szCs w:val="22"/>
        </w:rPr>
      </w:pPr>
      <w:r w:rsidRPr="002D30E7">
        <w:rPr>
          <w:rStyle w:val="EndnoteReference"/>
          <w:rFonts w:cstheme="minorHAnsi"/>
          <w:sz w:val="22"/>
          <w:szCs w:val="22"/>
        </w:rPr>
        <w:endnoteRef/>
      </w:r>
      <w:r w:rsidRPr="002D30E7">
        <w:rPr>
          <w:rFonts w:cstheme="minorHAnsi"/>
          <w:sz w:val="22"/>
          <w:szCs w:val="22"/>
        </w:rPr>
        <w:t xml:space="preserve"> Kammerlander C, Gosch M, Blauth M, Lechleitner M, Luger TJ, Roth T. The Tyrolean Geriatric Fracture Center: an orthogeriatric co-management model. </w:t>
      </w:r>
      <w:r w:rsidRPr="002D30E7">
        <w:rPr>
          <w:rFonts w:cstheme="minorHAnsi"/>
          <w:i/>
          <w:sz w:val="22"/>
          <w:szCs w:val="22"/>
        </w:rPr>
        <w:t xml:space="preserve">Z Gerontol Geriatr. </w:t>
      </w:r>
      <w:r w:rsidRPr="002D30E7">
        <w:rPr>
          <w:rFonts w:cstheme="minorHAnsi"/>
          <w:sz w:val="22"/>
          <w:szCs w:val="22"/>
        </w:rPr>
        <w:t>Dec 2011;44(6):363-367.</w:t>
      </w:r>
    </w:p>
    <w:p w14:paraId="601C0493" w14:textId="77777777" w:rsidR="00130397" w:rsidRPr="002D30E7" w:rsidRDefault="00130397" w:rsidP="00D841A8">
      <w:pPr>
        <w:pStyle w:val="EndnoteText"/>
        <w:mirrorIndents/>
        <w:rPr>
          <w:rFonts w:cstheme="minorHAnsi"/>
          <w:sz w:val="22"/>
          <w:szCs w:val="22"/>
          <w:lang w:val="en-AU"/>
        </w:rPr>
      </w:pPr>
    </w:p>
  </w:endnote>
  <w:endnote w:id="16">
    <w:p w14:paraId="386D1B01" w14:textId="77777777" w:rsidR="00130397" w:rsidRPr="002D30E7" w:rsidRDefault="00130397" w:rsidP="00D841A8">
      <w:pPr>
        <w:pStyle w:val="EndNoteBibliography"/>
        <w:spacing w:after="0"/>
        <w:mirrorIndents/>
        <w:rPr>
          <w:rFonts w:asciiTheme="minorHAnsi" w:hAnsiTheme="minorHAnsi" w:cstheme="minorHAnsi"/>
        </w:rPr>
      </w:pPr>
      <w:r w:rsidRPr="002D30E7">
        <w:rPr>
          <w:rStyle w:val="EndnoteReference"/>
          <w:rFonts w:asciiTheme="minorHAnsi" w:hAnsiTheme="minorHAnsi" w:cstheme="minorHAnsi"/>
        </w:rPr>
        <w:endnoteRef/>
      </w:r>
      <w:r w:rsidRPr="002D30E7">
        <w:rPr>
          <w:rFonts w:asciiTheme="minorHAnsi" w:hAnsiTheme="minorHAnsi" w:cstheme="minorHAnsi"/>
        </w:rPr>
        <w:t xml:space="preserve"> Mak J, Wong E, Cameron I, Australian, New Zealand Society for Geriatric M. Australian and New Zealand Society for Geriatric Medicine. Position statement--orthogeriatric care. </w:t>
      </w:r>
      <w:r w:rsidRPr="002D30E7">
        <w:rPr>
          <w:rFonts w:asciiTheme="minorHAnsi" w:hAnsiTheme="minorHAnsi" w:cstheme="minorHAnsi"/>
          <w:i/>
        </w:rPr>
        <w:t xml:space="preserve">Australas J Ageing. </w:t>
      </w:r>
      <w:r w:rsidRPr="002D30E7">
        <w:rPr>
          <w:rFonts w:asciiTheme="minorHAnsi" w:hAnsiTheme="minorHAnsi" w:cstheme="minorHAnsi"/>
        </w:rPr>
        <w:t>Sep 2011;30(3):162-169.</w:t>
      </w:r>
    </w:p>
    <w:p w14:paraId="13C7F4D7" w14:textId="5C9DC914" w:rsidR="00130397" w:rsidRPr="002D30E7" w:rsidRDefault="00130397" w:rsidP="00D841A8">
      <w:pPr>
        <w:pStyle w:val="EndnoteText"/>
        <w:mirrorIndents/>
        <w:rPr>
          <w:rFonts w:cstheme="minorHAnsi"/>
          <w:sz w:val="22"/>
          <w:szCs w:val="22"/>
          <w:lang w:val="en-AU"/>
        </w:rPr>
      </w:pPr>
    </w:p>
  </w:endnote>
  <w:endnote w:id="17">
    <w:p w14:paraId="5A757100" w14:textId="77777777" w:rsidR="00130397" w:rsidRPr="002D30E7" w:rsidRDefault="00130397" w:rsidP="00D841A8">
      <w:pPr>
        <w:pStyle w:val="EndNoteBibliography"/>
        <w:spacing w:after="0"/>
        <w:mirrorIndents/>
        <w:rPr>
          <w:rFonts w:asciiTheme="minorHAnsi" w:hAnsiTheme="minorHAnsi" w:cstheme="minorHAnsi"/>
        </w:rPr>
      </w:pPr>
      <w:r w:rsidRPr="002D30E7">
        <w:rPr>
          <w:rStyle w:val="EndnoteReference"/>
          <w:rFonts w:asciiTheme="minorHAnsi" w:hAnsiTheme="minorHAnsi" w:cstheme="minorHAnsi"/>
        </w:rPr>
        <w:endnoteRef/>
      </w:r>
      <w:r w:rsidRPr="002D30E7">
        <w:rPr>
          <w:rFonts w:asciiTheme="minorHAnsi" w:hAnsiTheme="minorHAnsi" w:cstheme="minorHAnsi"/>
        </w:rPr>
        <w:t xml:space="preserve"> Gregersen M, Morch MM, Hougaard K, Damsgaard EM. Geriatric intervention in elderly patients with hip fracture in an orthopedic ward. </w:t>
      </w:r>
      <w:r w:rsidRPr="002D30E7">
        <w:rPr>
          <w:rFonts w:asciiTheme="minorHAnsi" w:hAnsiTheme="minorHAnsi" w:cstheme="minorHAnsi"/>
          <w:i/>
        </w:rPr>
        <w:t xml:space="preserve">J Inj Violence Res. </w:t>
      </w:r>
      <w:r w:rsidRPr="002D30E7">
        <w:rPr>
          <w:rFonts w:asciiTheme="minorHAnsi" w:hAnsiTheme="minorHAnsi" w:cstheme="minorHAnsi"/>
        </w:rPr>
        <w:t>Jul 2012;4(2):45-51.</w:t>
      </w:r>
    </w:p>
    <w:p w14:paraId="68F0DD0D" w14:textId="3E83D64D" w:rsidR="00130397" w:rsidRPr="002D30E7" w:rsidRDefault="00130397" w:rsidP="00D841A8">
      <w:pPr>
        <w:pStyle w:val="EndnoteText"/>
        <w:mirrorIndents/>
        <w:rPr>
          <w:rFonts w:cstheme="minorHAnsi"/>
          <w:sz w:val="22"/>
          <w:szCs w:val="22"/>
          <w:lang w:val="en-AU"/>
        </w:rPr>
      </w:pPr>
    </w:p>
  </w:endnote>
  <w:endnote w:id="18">
    <w:p w14:paraId="26D9A4DE" w14:textId="77777777" w:rsidR="00130397" w:rsidRPr="002D30E7" w:rsidRDefault="00130397" w:rsidP="00D841A8">
      <w:pPr>
        <w:pStyle w:val="EndNoteBibliography"/>
        <w:spacing w:after="0"/>
        <w:mirrorIndents/>
        <w:rPr>
          <w:rFonts w:asciiTheme="minorHAnsi" w:hAnsiTheme="minorHAnsi" w:cstheme="minorHAnsi"/>
        </w:rPr>
      </w:pPr>
      <w:r w:rsidRPr="002D30E7">
        <w:rPr>
          <w:rStyle w:val="EndnoteReference"/>
          <w:rFonts w:asciiTheme="minorHAnsi" w:hAnsiTheme="minorHAnsi" w:cstheme="minorHAnsi"/>
        </w:rPr>
        <w:endnoteRef/>
      </w:r>
      <w:r w:rsidRPr="002D30E7">
        <w:rPr>
          <w:rFonts w:asciiTheme="minorHAnsi" w:hAnsiTheme="minorHAnsi" w:cstheme="minorHAnsi"/>
        </w:rPr>
        <w:t xml:space="preserve"> Doshi HK, Ramason R, Azellarasi J, Naidu G, Chan WL. Orthogeriatric model for hip fracture patients in Singapore: our early experience and initial outcomes. </w:t>
      </w:r>
      <w:r w:rsidRPr="002D30E7">
        <w:rPr>
          <w:rFonts w:asciiTheme="minorHAnsi" w:hAnsiTheme="minorHAnsi" w:cstheme="minorHAnsi"/>
          <w:i/>
        </w:rPr>
        <w:t xml:space="preserve">Arch Orthop Trauma Surg. </w:t>
      </w:r>
      <w:r w:rsidRPr="002D30E7">
        <w:rPr>
          <w:rFonts w:asciiTheme="minorHAnsi" w:hAnsiTheme="minorHAnsi" w:cstheme="minorHAnsi"/>
        </w:rPr>
        <w:t>Mar 2014;134(3):351-357.</w:t>
      </w:r>
    </w:p>
    <w:p w14:paraId="1C38655F" w14:textId="1CA3952D" w:rsidR="00130397" w:rsidRPr="002D30E7" w:rsidRDefault="00130397" w:rsidP="00D841A8">
      <w:pPr>
        <w:pStyle w:val="EndnoteText"/>
        <w:mirrorIndents/>
        <w:rPr>
          <w:rFonts w:cstheme="minorHAnsi"/>
          <w:sz w:val="22"/>
          <w:szCs w:val="22"/>
          <w:lang w:val="en-AU"/>
        </w:rPr>
      </w:pPr>
    </w:p>
  </w:endnote>
  <w:endnote w:id="19">
    <w:p w14:paraId="6F6F4775" w14:textId="77777777" w:rsidR="00130397" w:rsidRPr="002D30E7" w:rsidRDefault="00130397" w:rsidP="00D841A8">
      <w:pPr>
        <w:pStyle w:val="EndNoteBibliography"/>
        <w:spacing w:after="0"/>
        <w:mirrorIndents/>
        <w:rPr>
          <w:rFonts w:asciiTheme="minorHAnsi" w:hAnsiTheme="minorHAnsi" w:cstheme="minorHAnsi"/>
        </w:rPr>
      </w:pPr>
      <w:r w:rsidRPr="002D30E7">
        <w:rPr>
          <w:rStyle w:val="EndnoteReference"/>
          <w:rFonts w:asciiTheme="minorHAnsi" w:hAnsiTheme="minorHAnsi" w:cstheme="minorHAnsi"/>
        </w:rPr>
        <w:endnoteRef/>
      </w:r>
      <w:r w:rsidRPr="002D30E7">
        <w:rPr>
          <w:rFonts w:asciiTheme="minorHAnsi" w:hAnsiTheme="minorHAnsi" w:cstheme="minorHAnsi"/>
        </w:rPr>
        <w:t xml:space="preserve"> Friess T, Hartwig E, Liener U, Sturm J, Hoffmann R. [Geriatric trauma centers from the idea to implementation : What has been achieved?]. </w:t>
      </w:r>
      <w:r w:rsidRPr="002D30E7">
        <w:rPr>
          <w:rFonts w:asciiTheme="minorHAnsi" w:hAnsiTheme="minorHAnsi" w:cstheme="minorHAnsi"/>
          <w:i/>
        </w:rPr>
        <w:t xml:space="preserve">Unfallchirurg. </w:t>
      </w:r>
      <w:r w:rsidRPr="002D30E7">
        <w:rPr>
          <w:rFonts w:asciiTheme="minorHAnsi" w:hAnsiTheme="minorHAnsi" w:cstheme="minorHAnsi"/>
        </w:rPr>
        <w:t>Jan 2016;119(1):7-11.</w:t>
      </w:r>
    </w:p>
    <w:p w14:paraId="5B916274" w14:textId="4A5E90A2" w:rsidR="00130397" w:rsidRPr="002D30E7" w:rsidRDefault="00130397" w:rsidP="00D841A8">
      <w:pPr>
        <w:pStyle w:val="EndnoteText"/>
        <w:mirrorIndents/>
        <w:rPr>
          <w:rFonts w:cstheme="minorHAnsi"/>
          <w:sz w:val="22"/>
          <w:szCs w:val="22"/>
          <w:lang w:val="en-AU"/>
        </w:rPr>
      </w:pPr>
    </w:p>
  </w:endnote>
  <w:endnote w:id="20">
    <w:p w14:paraId="0393FBA5" w14:textId="77777777" w:rsidR="00130397" w:rsidRPr="002D30E7" w:rsidRDefault="00130397" w:rsidP="00D841A8">
      <w:pPr>
        <w:pStyle w:val="EndNoteBibliography"/>
        <w:spacing w:after="0"/>
        <w:mirrorIndents/>
        <w:rPr>
          <w:rFonts w:asciiTheme="minorHAnsi" w:hAnsiTheme="minorHAnsi" w:cstheme="minorHAnsi"/>
        </w:rPr>
      </w:pPr>
      <w:r w:rsidRPr="002D30E7">
        <w:rPr>
          <w:rStyle w:val="EndnoteReference"/>
          <w:rFonts w:asciiTheme="minorHAnsi" w:hAnsiTheme="minorHAnsi" w:cstheme="minorHAnsi"/>
        </w:rPr>
        <w:endnoteRef/>
      </w:r>
      <w:r w:rsidRPr="002D30E7">
        <w:rPr>
          <w:rFonts w:asciiTheme="minorHAnsi" w:hAnsiTheme="minorHAnsi" w:cstheme="minorHAnsi"/>
        </w:rPr>
        <w:t xml:space="preserve"> Kristensen PK, Thillemann TM, Soballe K, Johnsen SP. Can improved quality of care explain the success of orthogeriatric units? A population-based cohort study. </w:t>
      </w:r>
      <w:r w:rsidRPr="002D30E7">
        <w:rPr>
          <w:rFonts w:asciiTheme="minorHAnsi" w:hAnsiTheme="minorHAnsi" w:cstheme="minorHAnsi"/>
          <w:i/>
        </w:rPr>
        <w:t xml:space="preserve">Age Ageing. </w:t>
      </w:r>
      <w:r w:rsidRPr="002D30E7">
        <w:rPr>
          <w:rFonts w:asciiTheme="minorHAnsi" w:hAnsiTheme="minorHAnsi" w:cstheme="minorHAnsi"/>
        </w:rPr>
        <w:t>Jan 2016;45(1):66-71.</w:t>
      </w:r>
    </w:p>
    <w:p w14:paraId="0F5FFCF4" w14:textId="418E8884" w:rsidR="00130397" w:rsidRPr="002D30E7" w:rsidRDefault="00130397" w:rsidP="00D841A8">
      <w:pPr>
        <w:pStyle w:val="EndnoteText"/>
        <w:mirrorIndents/>
        <w:rPr>
          <w:rFonts w:cstheme="minorHAnsi"/>
          <w:sz w:val="22"/>
          <w:szCs w:val="22"/>
          <w:lang w:val="en-AU"/>
        </w:rPr>
      </w:pPr>
    </w:p>
  </w:endnote>
  <w:endnote w:id="21">
    <w:p w14:paraId="023DE096" w14:textId="77777777" w:rsidR="00130397" w:rsidRPr="002D30E7" w:rsidRDefault="00130397" w:rsidP="00D841A8">
      <w:pPr>
        <w:pStyle w:val="EndNoteBibliography"/>
        <w:spacing w:after="0"/>
        <w:mirrorIndents/>
        <w:rPr>
          <w:rFonts w:asciiTheme="minorHAnsi" w:hAnsiTheme="minorHAnsi" w:cstheme="minorHAnsi"/>
        </w:rPr>
      </w:pPr>
      <w:r w:rsidRPr="002D30E7">
        <w:rPr>
          <w:rStyle w:val="EndnoteReference"/>
          <w:rFonts w:asciiTheme="minorHAnsi" w:hAnsiTheme="minorHAnsi" w:cstheme="minorHAnsi"/>
        </w:rPr>
        <w:endnoteRef/>
      </w:r>
      <w:r w:rsidRPr="002D30E7">
        <w:rPr>
          <w:rFonts w:asciiTheme="minorHAnsi" w:hAnsiTheme="minorHAnsi" w:cstheme="minorHAnsi"/>
        </w:rPr>
        <w:t xml:space="preserve"> Friedman S. The Orthogeriatrics Model of Care. In: Duque G, Kiel DP, eds. </w:t>
      </w:r>
      <w:r w:rsidRPr="002D30E7">
        <w:rPr>
          <w:rFonts w:asciiTheme="minorHAnsi" w:hAnsiTheme="minorHAnsi" w:cstheme="minorHAnsi"/>
          <w:i/>
        </w:rPr>
        <w:t>Osteoporosis in Older Persons: Advances in Pathophysiology and Therapeutic Approaches</w:t>
      </w:r>
      <w:r w:rsidRPr="002D30E7">
        <w:rPr>
          <w:rFonts w:asciiTheme="minorHAnsi" w:hAnsiTheme="minorHAnsi" w:cstheme="minorHAnsi"/>
        </w:rPr>
        <w:t>. Second ed. Switzerland: Springer International Publishing; 2016:265-273.</w:t>
      </w:r>
    </w:p>
    <w:p w14:paraId="63283665" w14:textId="75850721" w:rsidR="00130397" w:rsidRPr="002D30E7" w:rsidRDefault="00130397" w:rsidP="00D841A8">
      <w:pPr>
        <w:pStyle w:val="EndnoteText"/>
        <w:mirrorIndents/>
        <w:rPr>
          <w:rFonts w:cstheme="minorHAnsi"/>
          <w:sz w:val="22"/>
          <w:szCs w:val="22"/>
          <w:lang w:val="en-AU"/>
        </w:rPr>
      </w:pPr>
    </w:p>
  </w:endnote>
  <w:endnote w:id="22">
    <w:p w14:paraId="5A5A8C94" w14:textId="74C2D529" w:rsidR="00130397" w:rsidRPr="002D30E7" w:rsidRDefault="00130397" w:rsidP="00D841A8">
      <w:pPr>
        <w:pStyle w:val="EndNoteBibliography"/>
        <w:spacing w:after="0"/>
        <w:mirrorIndents/>
        <w:rPr>
          <w:rFonts w:asciiTheme="minorHAnsi" w:hAnsiTheme="minorHAnsi" w:cstheme="minorHAnsi"/>
        </w:rPr>
      </w:pPr>
      <w:r w:rsidRPr="002D30E7">
        <w:rPr>
          <w:rStyle w:val="EndnoteReference"/>
          <w:rFonts w:asciiTheme="minorHAnsi" w:hAnsiTheme="minorHAnsi" w:cstheme="minorHAnsi"/>
        </w:rPr>
        <w:endnoteRef/>
      </w:r>
      <w:r w:rsidRPr="002D30E7">
        <w:rPr>
          <w:rFonts w:asciiTheme="minorHAnsi" w:hAnsiTheme="minorHAnsi" w:cstheme="minorHAnsi"/>
        </w:rPr>
        <w:t xml:space="preserve"> British Orthopaedic Association, British Geriatrics Society, Healthcare Quality Improvement Partnership. The National Hip Fracture Database.</w:t>
      </w:r>
      <w:r>
        <w:rPr>
          <w:rFonts w:asciiTheme="minorHAnsi" w:hAnsiTheme="minorHAnsi" w:cstheme="minorHAnsi"/>
        </w:rPr>
        <w:t xml:space="preserve"> </w:t>
      </w:r>
      <w:hyperlink r:id="rId1" w:history="1">
        <w:r w:rsidRPr="002D30E7">
          <w:rPr>
            <w:rStyle w:val="Hyperlink"/>
            <w:rFonts w:asciiTheme="minorHAnsi" w:hAnsiTheme="minorHAnsi" w:cstheme="minorHAnsi"/>
          </w:rPr>
          <w:t>http://www.nhfd.co.uk/</w:t>
        </w:r>
      </w:hyperlink>
      <w:r w:rsidRPr="002D30E7">
        <w:rPr>
          <w:rFonts w:asciiTheme="minorHAnsi" w:hAnsiTheme="minorHAnsi" w:cstheme="minorHAnsi"/>
        </w:rPr>
        <w:t>. Accessed 21 September 2016.</w:t>
      </w:r>
    </w:p>
    <w:p w14:paraId="65060B2A" w14:textId="48BC1E16" w:rsidR="00130397" w:rsidRPr="002D30E7" w:rsidRDefault="00130397" w:rsidP="00D841A8">
      <w:pPr>
        <w:pStyle w:val="EndnoteText"/>
        <w:mirrorIndents/>
        <w:rPr>
          <w:rFonts w:cstheme="minorHAnsi"/>
          <w:sz w:val="22"/>
          <w:szCs w:val="22"/>
          <w:lang w:val="en-AU"/>
        </w:rPr>
      </w:pPr>
    </w:p>
  </w:endnote>
  <w:endnote w:id="23">
    <w:p w14:paraId="2157E22F" w14:textId="1A5161C5" w:rsidR="00130397" w:rsidRPr="002D30E7" w:rsidRDefault="00130397" w:rsidP="00D841A8">
      <w:pPr>
        <w:pStyle w:val="EndnoteText"/>
        <w:mirrorIndents/>
        <w:rPr>
          <w:rFonts w:cstheme="minorHAnsi"/>
          <w:sz w:val="22"/>
          <w:szCs w:val="22"/>
        </w:rPr>
      </w:pPr>
      <w:r w:rsidRPr="002D30E7">
        <w:rPr>
          <w:rStyle w:val="EndnoteReference"/>
          <w:rFonts w:cstheme="minorHAnsi"/>
          <w:sz w:val="22"/>
          <w:szCs w:val="22"/>
        </w:rPr>
        <w:endnoteRef/>
      </w:r>
      <w:r w:rsidRPr="002D30E7">
        <w:rPr>
          <w:rFonts w:cstheme="minorHAnsi"/>
          <w:sz w:val="22"/>
          <w:szCs w:val="22"/>
        </w:rPr>
        <w:t xml:space="preserve"> Royal College of Physicians. </w:t>
      </w:r>
      <w:r w:rsidRPr="002D30E7">
        <w:rPr>
          <w:rFonts w:cstheme="minorHAnsi"/>
          <w:i/>
          <w:sz w:val="22"/>
          <w:szCs w:val="22"/>
        </w:rPr>
        <w:t>National Hip Fracture Database (NHFD) annual report 2018.</w:t>
      </w:r>
      <w:r w:rsidRPr="002D30E7">
        <w:rPr>
          <w:rFonts w:cstheme="minorHAnsi"/>
          <w:sz w:val="22"/>
          <w:szCs w:val="22"/>
        </w:rPr>
        <w:t xml:space="preserve"> London: RCP; September 2018.</w:t>
      </w:r>
    </w:p>
    <w:p w14:paraId="25168C70" w14:textId="77777777" w:rsidR="00130397" w:rsidRPr="002D30E7" w:rsidRDefault="00130397" w:rsidP="00D841A8">
      <w:pPr>
        <w:pStyle w:val="EndnoteText"/>
        <w:mirrorIndents/>
        <w:rPr>
          <w:rFonts w:cstheme="minorHAnsi"/>
          <w:sz w:val="22"/>
          <w:szCs w:val="22"/>
          <w:lang w:val="en-AU"/>
        </w:rPr>
      </w:pPr>
    </w:p>
  </w:endnote>
  <w:endnote w:id="24">
    <w:p w14:paraId="1C629434" w14:textId="77777777" w:rsidR="00130397" w:rsidRPr="002D30E7" w:rsidRDefault="00130397" w:rsidP="00D841A8">
      <w:pPr>
        <w:pStyle w:val="EndNoteBibliography"/>
        <w:spacing w:after="0"/>
        <w:mirrorIndents/>
        <w:rPr>
          <w:rFonts w:asciiTheme="minorHAnsi" w:hAnsiTheme="minorHAnsi" w:cstheme="minorHAnsi"/>
        </w:rPr>
      </w:pPr>
      <w:r w:rsidRPr="002D30E7">
        <w:rPr>
          <w:rStyle w:val="EndnoteReference"/>
          <w:rFonts w:asciiTheme="minorHAnsi" w:hAnsiTheme="minorHAnsi" w:cstheme="minorHAnsi"/>
        </w:rPr>
        <w:endnoteRef/>
      </w:r>
      <w:r w:rsidRPr="002D30E7">
        <w:rPr>
          <w:rFonts w:asciiTheme="minorHAnsi" w:hAnsiTheme="minorHAnsi" w:cstheme="minorHAnsi"/>
        </w:rPr>
        <w:t xml:space="preserve"> Neuburger J, Currie C, Wakeman R, et al. The impact of a national clinician-led audit initiative on care and mortality after hip fracture in England: an external evaluation using time trends in non-audit data. </w:t>
      </w:r>
      <w:r w:rsidRPr="002D30E7">
        <w:rPr>
          <w:rFonts w:asciiTheme="minorHAnsi" w:hAnsiTheme="minorHAnsi" w:cstheme="minorHAnsi"/>
          <w:i/>
        </w:rPr>
        <w:t xml:space="preserve">Med Care. </w:t>
      </w:r>
      <w:r w:rsidRPr="002D30E7">
        <w:rPr>
          <w:rFonts w:asciiTheme="minorHAnsi" w:hAnsiTheme="minorHAnsi" w:cstheme="minorHAnsi"/>
        </w:rPr>
        <w:t>Aug 2015;53(8):686-691.</w:t>
      </w:r>
    </w:p>
    <w:p w14:paraId="2113A5D8" w14:textId="408761C0" w:rsidR="00130397" w:rsidRPr="002D30E7" w:rsidRDefault="00130397" w:rsidP="00D841A8">
      <w:pPr>
        <w:pStyle w:val="EndnoteText"/>
        <w:mirrorIndents/>
        <w:rPr>
          <w:rFonts w:cstheme="minorHAnsi"/>
          <w:sz w:val="22"/>
          <w:szCs w:val="22"/>
          <w:lang w:val="en-AU"/>
        </w:rPr>
      </w:pPr>
    </w:p>
  </w:endnote>
  <w:endnote w:id="25">
    <w:p w14:paraId="194AB2AC" w14:textId="77777777" w:rsidR="00130397" w:rsidRPr="002D30E7" w:rsidRDefault="00130397" w:rsidP="00D841A8">
      <w:pPr>
        <w:pStyle w:val="EndNoteBibliography"/>
        <w:spacing w:after="0"/>
        <w:mirrorIndents/>
        <w:rPr>
          <w:rFonts w:asciiTheme="minorHAnsi" w:hAnsiTheme="minorHAnsi" w:cstheme="minorHAnsi"/>
        </w:rPr>
      </w:pPr>
      <w:r w:rsidRPr="002D30E7">
        <w:rPr>
          <w:rStyle w:val="EndnoteReference"/>
          <w:rFonts w:asciiTheme="minorHAnsi" w:hAnsiTheme="minorHAnsi" w:cstheme="minorHAnsi"/>
        </w:rPr>
        <w:endnoteRef/>
      </w:r>
      <w:r w:rsidRPr="002D30E7">
        <w:rPr>
          <w:rFonts w:asciiTheme="minorHAnsi" w:hAnsiTheme="minorHAnsi" w:cstheme="minorHAnsi"/>
        </w:rPr>
        <w:t xml:space="preserve"> Nymark T, Lauritsen JM, Ovesen O, Rock ND, Jeune B. Short time-frame from first to second hip fracture in the Funen County Hip Fracture Study. </w:t>
      </w:r>
      <w:r w:rsidRPr="002D30E7">
        <w:rPr>
          <w:rFonts w:asciiTheme="minorHAnsi" w:hAnsiTheme="minorHAnsi" w:cstheme="minorHAnsi"/>
          <w:i/>
        </w:rPr>
        <w:t xml:space="preserve">Osteoporos Int. </w:t>
      </w:r>
      <w:r w:rsidRPr="002D30E7">
        <w:rPr>
          <w:rFonts w:asciiTheme="minorHAnsi" w:hAnsiTheme="minorHAnsi" w:cstheme="minorHAnsi"/>
        </w:rPr>
        <w:t>2006;17(9):1353-1357.</w:t>
      </w:r>
    </w:p>
    <w:p w14:paraId="03ABA765" w14:textId="4D07A925" w:rsidR="00130397" w:rsidRPr="002D30E7" w:rsidRDefault="00130397" w:rsidP="00D841A8">
      <w:pPr>
        <w:pStyle w:val="EndnoteText"/>
        <w:mirrorIndents/>
        <w:rPr>
          <w:rFonts w:cstheme="minorHAnsi"/>
          <w:sz w:val="22"/>
          <w:szCs w:val="22"/>
          <w:lang w:val="en-AU"/>
        </w:rPr>
      </w:pPr>
    </w:p>
  </w:endnote>
  <w:endnote w:id="26">
    <w:p w14:paraId="7EA4DB58" w14:textId="77777777" w:rsidR="00130397" w:rsidRPr="002D30E7" w:rsidRDefault="00130397" w:rsidP="00D841A8">
      <w:pPr>
        <w:pStyle w:val="EndNoteBibliography"/>
        <w:spacing w:after="0"/>
        <w:mirrorIndents/>
        <w:rPr>
          <w:rFonts w:asciiTheme="minorHAnsi" w:hAnsiTheme="minorHAnsi" w:cstheme="minorHAnsi"/>
        </w:rPr>
      </w:pPr>
      <w:r w:rsidRPr="002D30E7">
        <w:rPr>
          <w:rStyle w:val="EndnoteReference"/>
          <w:rFonts w:asciiTheme="minorHAnsi" w:hAnsiTheme="minorHAnsi" w:cstheme="minorHAnsi"/>
        </w:rPr>
        <w:endnoteRef/>
      </w:r>
      <w:r w:rsidRPr="002D30E7">
        <w:rPr>
          <w:rFonts w:asciiTheme="minorHAnsi" w:hAnsiTheme="minorHAnsi" w:cstheme="minorHAnsi"/>
        </w:rPr>
        <w:t xml:space="preserve"> Lonnroos E, Kautiainen H, Karppi P, Hartikainen S, Kiviranta I, Sulkava R. Incidence of second hip fractures. A population-based study. </w:t>
      </w:r>
      <w:r w:rsidRPr="002D30E7">
        <w:rPr>
          <w:rFonts w:asciiTheme="minorHAnsi" w:hAnsiTheme="minorHAnsi" w:cstheme="minorHAnsi"/>
          <w:i/>
        </w:rPr>
        <w:t xml:space="preserve">Osteoporos Int. </w:t>
      </w:r>
      <w:r w:rsidRPr="002D30E7">
        <w:rPr>
          <w:rFonts w:asciiTheme="minorHAnsi" w:hAnsiTheme="minorHAnsi" w:cstheme="minorHAnsi"/>
        </w:rPr>
        <w:t>Sep 2007;18(9):1279-1285.</w:t>
      </w:r>
    </w:p>
    <w:p w14:paraId="7C60B9AE" w14:textId="5B9B885B" w:rsidR="00130397" w:rsidRPr="002D30E7" w:rsidRDefault="00130397" w:rsidP="00D841A8">
      <w:pPr>
        <w:pStyle w:val="EndnoteText"/>
        <w:mirrorIndents/>
        <w:rPr>
          <w:rFonts w:cstheme="minorHAnsi"/>
          <w:sz w:val="22"/>
          <w:szCs w:val="22"/>
          <w:lang w:val="en-AU"/>
        </w:rPr>
      </w:pPr>
    </w:p>
  </w:endnote>
  <w:endnote w:id="27">
    <w:p w14:paraId="747A0672" w14:textId="77777777" w:rsidR="00130397" w:rsidRPr="002D30E7" w:rsidRDefault="00130397" w:rsidP="00D841A8">
      <w:pPr>
        <w:pStyle w:val="EndNoteBibliography"/>
        <w:spacing w:after="0"/>
        <w:mirrorIndents/>
        <w:rPr>
          <w:rFonts w:asciiTheme="minorHAnsi" w:hAnsiTheme="minorHAnsi" w:cstheme="minorHAnsi"/>
        </w:rPr>
      </w:pPr>
      <w:r w:rsidRPr="002D30E7">
        <w:rPr>
          <w:rStyle w:val="EndnoteReference"/>
          <w:rFonts w:asciiTheme="minorHAnsi" w:hAnsiTheme="minorHAnsi" w:cstheme="minorHAnsi"/>
        </w:rPr>
        <w:endnoteRef/>
      </w:r>
      <w:r w:rsidRPr="002D30E7">
        <w:rPr>
          <w:rFonts w:asciiTheme="minorHAnsi" w:hAnsiTheme="minorHAnsi" w:cstheme="minorHAnsi"/>
        </w:rPr>
        <w:t xml:space="preserve"> Lawrence TM, Wenn R, Boulton CT, Moran CG. Age-specific incidence of first and second fractures of the hip. </w:t>
      </w:r>
      <w:r w:rsidRPr="002D30E7">
        <w:rPr>
          <w:rFonts w:asciiTheme="minorHAnsi" w:hAnsiTheme="minorHAnsi" w:cstheme="minorHAnsi"/>
          <w:i/>
        </w:rPr>
        <w:t xml:space="preserve">J Bone Joint Surg Br. </w:t>
      </w:r>
      <w:r w:rsidRPr="002D30E7">
        <w:rPr>
          <w:rFonts w:asciiTheme="minorHAnsi" w:hAnsiTheme="minorHAnsi" w:cstheme="minorHAnsi"/>
        </w:rPr>
        <w:t>Feb 2010;92(2):258-261.</w:t>
      </w:r>
    </w:p>
    <w:p w14:paraId="13C38F01" w14:textId="6F540CF2" w:rsidR="00130397" w:rsidRPr="002D30E7" w:rsidRDefault="00130397" w:rsidP="00D841A8">
      <w:pPr>
        <w:pStyle w:val="EndnoteText"/>
        <w:mirrorIndents/>
        <w:rPr>
          <w:rFonts w:cstheme="minorHAnsi"/>
          <w:sz w:val="22"/>
          <w:szCs w:val="22"/>
          <w:lang w:val="en-AU"/>
        </w:rPr>
      </w:pPr>
    </w:p>
  </w:endnote>
  <w:endnote w:id="28">
    <w:p w14:paraId="3C8AFE1A" w14:textId="3F208328" w:rsidR="00130397" w:rsidRPr="002D30E7" w:rsidRDefault="00130397" w:rsidP="00D841A8">
      <w:pPr>
        <w:pStyle w:val="EndNoteBibliography"/>
        <w:spacing w:after="0"/>
        <w:mirrorIndents/>
      </w:pPr>
      <w:r w:rsidRPr="002D30E7">
        <w:rPr>
          <w:rStyle w:val="EndnoteReference"/>
          <w:rFonts w:asciiTheme="minorHAnsi" w:hAnsiTheme="minorHAnsi" w:cstheme="minorHAnsi"/>
        </w:rPr>
        <w:endnoteRef/>
      </w:r>
      <w:r w:rsidRPr="002D30E7">
        <w:rPr>
          <w:rFonts w:asciiTheme="minorHAnsi" w:hAnsiTheme="minorHAnsi" w:cstheme="minorHAnsi"/>
        </w:rPr>
        <w:t xml:space="preserve"> Lee SH, Chen IJ, Li YH, Fan Chiang CY, Chang CH, Hsieh PH. Incidence of second hip fractures and associated mortality in Taiwan: A nationwide population-based study of 95,484 patients during 2006-2010. </w:t>
      </w:r>
      <w:r w:rsidRPr="002D30E7">
        <w:rPr>
          <w:rFonts w:asciiTheme="minorHAnsi" w:hAnsiTheme="minorHAnsi" w:cstheme="minorHAnsi"/>
          <w:i/>
        </w:rPr>
        <w:t xml:space="preserve">Acta Orthop Traumatol Turc. </w:t>
      </w:r>
      <w:r w:rsidRPr="002D30E7">
        <w:rPr>
          <w:rFonts w:asciiTheme="minorHAnsi" w:hAnsiTheme="minorHAnsi" w:cstheme="minorHAnsi"/>
        </w:rPr>
        <w:t>Jul 26 2016.</w:t>
      </w:r>
    </w:p>
  </w:endnote>
  <w:endnote w:id="29">
    <w:p w14:paraId="0767152F" w14:textId="77777777" w:rsidR="00130397" w:rsidRPr="002D30E7" w:rsidRDefault="00130397" w:rsidP="00D841A8">
      <w:pPr>
        <w:pStyle w:val="EndNoteBibliography"/>
        <w:spacing w:after="0"/>
        <w:mirrorIndents/>
        <w:rPr>
          <w:rFonts w:asciiTheme="minorHAnsi" w:hAnsiTheme="minorHAnsi" w:cstheme="minorHAnsi"/>
        </w:rPr>
      </w:pPr>
      <w:r w:rsidRPr="002D30E7">
        <w:rPr>
          <w:rStyle w:val="EndnoteReference"/>
          <w:rFonts w:asciiTheme="minorHAnsi" w:hAnsiTheme="minorHAnsi" w:cstheme="minorHAnsi"/>
        </w:rPr>
        <w:endnoteRef/>
      </w:r>
      <w:r w:rsidRPr="002D30E7">
        <w:rPr>
          <w:rFonts w:asciiTheme="minorHAnsi" w:hAnsiTheme="minorHAnsi" w:cstheme="minorHAnsi"/>
        </w:rPr>
        <w:t xml:space="preserve"> Osteoporosis New Zealand. </w:t>
      </w:r>
      <w:r w:rsidRPr="002D30E7">
        <w:rPr>
          <w:rFonts w:asciiTheme="minorHAnsi" w:hAnsiTheme="minorHAnsi" w:cstheme="minorHAnsi"/>
          <w:i/>
        </w:rPr>
        <w:t>Bone Care 2020: A systematic approach to hip fracture care and prevention for New Zealand.</w:t>
      </w:r>
      <w:r w:rsidRPr="002D30E7">
        <w:rPr>
          <w:rFonts w:asciiTheme="minorHAnsi" w:hAnsiTheme="minorHAnsi" w:cstheme="minorHAnsi"/>
        </w:rPr>
        <w:t xml:space="preserve"> Wellington 2012.</w:t>
      </w:r>
    </w:p>
    <w:p w14:paraId="380C4D3A" w14:textId="2C4B66FA" w:rsidR="00130397" w:rsidRPr="002D30E7" w:rsidRDefault="00130397" w:rsidP="00D841A8">
      <w:pPr>
        <w:pStyle w:val="EndnoteText"/>
        <w:mirrorIndents/>
        <w:rPr>
          <w:rFonts w:cstheme="minorHAnsi"/>
          <w:sz w:val="22"/>
          <w:szCs w:val="22"/>
          <w:lang w:val="en-AU"/>
        </w:rPr>
      </w:pPr>
    </w:p>
  </w:endnote>
  <w:endnote w:id="30">
    <w:p w14:paraId="76E088D2" w14:textId="29E0E471" w:rsidR="00130397" w:rsidRPr="002D30E7" w:rsidRDefault="00130397" w:rsidP="00D841A8">
      <w:pPr>
        <w:pStyle w:val="EndNoteBibliography"/>
        <w:spacing w:after="0"/>
        <w:mirrorIndents/>
        <w:rPr>
          <w:rFonts w:asciiTheme="minorHAnsi" w:hAnsiTheme="minorHAnsi" w:cstheme="minorHAnsi"/>
        </w:rPr>
      </w:pPr>
      <w:r w:rsidRPr="002D30E7">
        <w:rPr>
          <w:rStyle w:val="EndnoteReference"/>
          <w:rFonts w:asciiTheme="minorHAnsi" w:hAnsiTheme="minorHAnsi" w:cstheme="minorHAnsi"/>
        </w:rPr>
        <w:endnoteRef/>
      </w:r>
      <w:r w:rsidRPr="002D30E7">
        <w:rPr>
          <w:rFonts w:asciiTheme="minorHAnsi" w:hAnsiTheme="minorHAnsi" w:cstheme="minorHAnsi"/>
        </w:rPr>
        <w:t xml:space="preserve"> Health Quality &amp; Safety Commission. Reducing Harm from Falls programme evaluation.</w:t>
      </w:r>
      <w:r>
        <w:rPr>
          <w:rFonts w:asciiTheme="minorHAnsi" w:hAnsiTheme="minorHAnsi" w:cstheme="minorHAnsi"/>
        </w:rPr>
        <w:t xml:space="preserve"> </w:t>
      </w:r>
      <w:hyperlink r:id="rId2" w:history="1">
        <w:r w:rsidRPr="002D30E7">
          <w:rPr>
            <w:rStyle w:val="Hyperlink"/>
            <w:rFonts w:asciiTheme="minorHAnsi" w:hAnsiTheme="minorHAnsi" w:cstheme="minorHAnsi"/>
          </w:rPr>
          <w:t>http://www.hqsc.govt.nz/our-programmes/reducing-harm-from-falls/publications-and-resources/publication/2595/</w:t>
        </w:r>
      </w:hyperlink>
      <w:r w:rsidRPr="002D30E7">
        <w:rPr>
          <w:rFonts w:asciiTheme="minorHAnsi" w:hAnsiTheme="minorHAnsi" w:cstheme="minorHAnsi"/>
        </w:rPr>
        <w:t>. Accessed 16 November 2016.</w:t>
      </w:r>
    </w:p>
    <w:p w14:paraId="499BCB4B" w14:textId="4B51FCD4" w:rsidR="00130397" w:rsidRPr="002D30E7" w:rsidRDefault="00130397" w:rsidP="00D841A8">
      <w:pPr>
        <w:pStyle w:val="EndnoteText"/>
        <w:mirrorIndents/>
        <w:rPr>
          <w:rFonts w:cstheme="minorHAnsi"/>
          <w:sz w:val="22"/>
          <w:szCs w:val="22"/>
          <w:lang w:val="en-AU"/>
        </w:rPr>
      </w:pPr>
    </w:p>
  </w:endnote>
  <w:endnote w:id="31">
    <w:p w14:paraId="57E67196" w14:textId="77777777" w:rsidR="00130397" w:rsidRPr="002D30E7" w:rsidRDefault="00130397" w:rsidP="00D841A8">
      <w:pPr>
        <w:pStyle w:val="EndNoteBibliography"/>
        <w:spacing w:after="0"/>
        <w:mirrorIndents/>
        <w:rPr>
          <w:rFonts w:asciiTheme="minorHAnsi" w:hAnsiTheme="minorHAnsi" w:cstheme="minorHAnsi"/>
        </w:rPr>
      </w:pPr>
      <w:r w:rsidRPr="002D30E7">
        <w:rPr>
          <w:rStyle w:val="EndnoteReference"/>
          <w:rFonts w:asciiTheme="minorHAnsi" w:hAnsiTheme="minorHAnsi" w:cstheme="minorHAnsi"/>
        </w:rPr>
        <w:endnoteRef/>
      </w:r>
      <w:r w:rsidRPr="002D30E7">
        <w:rPr>
          <w:rFonts w:asciiTheme="minorHAnsi" w:hAnsiTheme="minorHAnsi" w:cstheme="minorHAnsi"/>
        </w:rPr>
        <w:t xml:space="preserve"> Australian and New Zealand Hip Fracture Registry. </w:t>
      </w:r>
      <w:r w:rsidRPr="002D30E7">
        <w:rPr>
          <w:rFonts w:asciiTheme="minorHAnsi" w:hAnsiTheme="minorHAnsi" w:cstheme="minorHAnsi"/>
          <w:i/>
        </w:rPr>
        <w:t>Facility level audit of hospitals in Australia and New Zealand performing surgery for hip fracture.</w:t>
      </w:r>
      <w:r w:rsidRPr="002D30E7">
        <w:rPr>
          <w:rFonts w:asciiTheme="minorHAnsi" w:hAnsiTheme="minorHAnsi" w:cstheme="minorHAnsi"/>
        </w:rPr>
        <w:t xml:space="preserve"> Sydney 2013.</w:t>
      </w:r>
    </w:p>
    <w:p w14:paraId="781860F7" w14:textId="501C58D0" w:rsidR="00130397" w:rsidRPr="002D30E7" w:rsidRDefault="00130397" w:rsidP="00D841A8">
      <w:pPr>
        <w:pStyle w:val="EndnoteText"/>
        <w:mirrorIndents/>
        <w:rPr>
          <w:rFonts w:cstheme="minorHAnsi"/>
          <w:sz w:val="22"/>
          <w:szCs w:val="22"/>
          <w:lang w:val="en-AU"/>
        </w:rPr>
      </w:pPr>
    </w:p>
  </w:endnote>
  <w:endnote w:id="32">
    <w:p w14:paraId="049A80FE" w14:textId="77777777" w:rsidR="00130397" w:rsidRPr="002D30E7" w:rsidRDefault="00130397" w:rsidP="00D841A8">
      <w:pPr>
        <w:pStyle w:val="EndNoteBibliography"/>
        <w:spacing w:after="0"/>
        <w:mirrorIndents/>
        <w:rPr>
          <w:rFonts w:asciiTheme="minorHAnsi" w:hAnsiTheme="minorHAnsi" w:cstheme="minorHAnsi"/>
        </w:rPr>
      </w:pPr>
      <w:r w:rsidRPr="002D30E7">
        <w:rPr>
          <w:rStyle w:val="EndnoteReference"/>
          <w:rFonts w:asciiTheme="minorHAnsi" w:hAnsiTheme="minorHAnsi" w:cstheme="minorHAnsi"/>
        </w:rPr>
        <w:endnoteRef/>
      </w:r>
      <w:r w:rsidRPr="002D30E7">
        <w:rPr>
          <w:rFonts w:asciiTheme="minorHAnsi" w:hAnsiTheme="minorHAnsi" w:cstheme="minorHAnsi"/>
        </w:rPr>
        <w:t xml:space="preserve"> Australian and New Zealand Hip Fracture Registry (ANZHFR) Steering Group. </w:t>
      </w:r>
      <w:r w:rsidRPr="002D30E7">
        <w:rPr>
          <w:rFonts w:asciiTheme="minorHAnsi" w:hAnsiTheme="minorHAnsi" w:cstheme="minorHAnsi"/>
          <w:i/>
        </w:rPr>
        <w:t>Australian and New Zealand Guideline for Hip Fracture Care: Improving Outcomes in Hip Fracture Management of Adults.</w:t>
      </w:r>
      <w:r w:rsidRPr="002D30E7">
        <w:rPr>
          <w:rFonts w:asciiTheme="minorHAnsi" w:hAnsiTheme="minorHAnsi" w:cstheme="minorHAnsi"/>
        </w:rPr>
        <w:t xml:space="preserve"> Sydney: Australian and New Zealand Hip Fracture Registry Steering Group; 2014.</w:t>
      </w:r>
    </w:p>
    <w:p w14:paraId="27E21641" w14:textId="6D14A7A3" w:rsidR="00130397" w:rsidRPr="002D30E7" w:rsidRDefault="00130397" w:rsidP="00D841A8">
      <w:pPr>
        <w:pStyle w:val="EndnoteText"/>
        <w:mirrorIndents/>
        <w:rPr>
          <w:rFonts w:cstheme="minorHAnsi"/>
          <w:sz w:val="22"/>
          <w:szCs w:val="22"/>
          <w:lang w:val="en-AU"/>
        </w:rPr>
      </w:pPr>
    </w:p>
  </w:endnote>
  <w:endnote w:id="33">
    <w:p w14:paraId="22C39BE4" w14:textId="515F5133" w:rsidR="00130397" w:rsidRPr="002D30E7" w:rsidRDefault="00130397" w:rsidP="00D841A8">
      <w:pPr>
        <w:pStyle w:val="EndnoteText"/>
        <w:mirrorIndents/>
        <w:rPr>
          <w:rFonts w:cstheme="minorHAnsi"/>
          <w:sz w:val="22"/>
          <w:szCs w:val="22"/>
        </w:rPr>
      </w:pPr>
      <w:r w:rsidRPr="002D30E7">
        <w:rPr>
          <w:rStyle w:val="EndnoteReference"/>
          <w:rFonts w:cstheme="minorHAnsi"/>
          <w:sz w:val="22"/>
          <w:szCs w:val="22"/>
        </w:rPr>
        <w:endnoteRef/>
      </w:r>
      <w:r w:rsidRPr="002D30E7">
        <w:rPr>
          <w:rFonts w:cstheme="minorHAnsi"/>
          <w:sz w:val="22"/>
          <w:szCs w:val="22"/>
        </w:rPr>
        <w:t xml:space="preserve"> Australian and New Zealand Hip Fracture Registry Steering Group. </w:t>
      </w:r>
      <w:r w:rsidRPr="002D30E7">
        <w:rPr>
          <w:rFonts w:cstheme="minorHAnsi"/>
          <w:i/>
          <w:sz w:val="22"/>
          <w:szCs w:val="22"/>
        </w:rPr>
        <w:t>Australian and New Zealand Facility Level Audit of Hospitals Performing Surgery for Hip Fracture.</w:t>
      </w:r>
      <w:r w:rsidRPr="002D30E7">
        <w:rPr>
          <w:rFonts w:cstheme="minorHAnsi"/>
          <w:sz w:val="22"/>
          <w:szCs w:val="22"/>
        </w:rPr>
        <w:t xml:space="preserve"> Sydney 2014</w:t>
      </w:r>
    </w:p>
    <w:p w14:paraId="50BAE8D1" w14:textId="77777777" w:rsidR="00130397" w:rsidRPr="002D30E7" w:rsidRDefault="00130397" w:rsidP="00D841A8">
      <w:pPr>
        <w:pStyle w:val="EndnoteText"/>
        <w:mirrorIndents/>
        <w:rPr>
          <w:rFonts w:cstheme="minorHAnsi"/>
          <w:sz w:val="22"/>
          <w:szCs w:val="22"/>
          <w:lang w:val="en-AU"/>
        </w:rPr>
      </w:pPr>
    </w:p>
  </w:endnote>
  <w:endnote w:id="34">
    <w:p w14:paraId="215B00B5" w14:textId="733F5B92" w:rsidR="00130397" w:rsidRPr="002D30E7" w:rsidRDefault="00130397" w:rsidP="00D841A8">
      <w:pPr>
        <w:pStyle w:val="EndnoteText"/>
        <w:mirrorIndents/>
        <w:rPr>
          <w:rFonts w:cstheme="minorHAnsi"/>
          <w:sz w:val="22"/>
          <w:szCs w:val="22"/>
        </w:rPr>
      </w:pPr>
      <w:r w:rsidRPr="002D30E7">
        <w:rPr>
          <w:rStyle w:val="EndnoteReference"/>
          <w:rFonts w:cstheme="minorHAnsi"/>
          <w:sz w:val="22"/>
          <w:szCs w:val="22"/>
        </w:rPr>
        <w:endnoteRef/>
      </w:r>
      <w:r w:rsidRPr="002D30E7">
        <w:rPr>
          <w:rFonts w:cstheme="minorHAnsi"/>
          <w:sz w:val="22"/>
          <w:szCs w:val="22"/>
        </w:rPr>
        <w:t xml:space="preserve"> Australian and New Zealand Hip Fracture Registry Steering Group. </w:t>
      </w:r>
      <w:r w:rsidRPr="002D30E7">
        <w:rPr>
          <w:rFonts w:cstheme="minorHAnsi"/>
          <w:i/>
          <w:sz w:val="22"/>
          <w:szCs w:val="22"/>
        </w:rPr>
        <w:t>Australian and New Zealand Facility Level Audit of Hospitals Performing Surgery for Hip Fracture.</w:t>
      </w:r>
      <w:r w:rsidRPr="002D30E7">
        <w:rPr>
          <w:rFonts w:cstheme="minorHAnsi"/>
          <w:sz w:val="22"/>
          <w:szCs w:val="22"/>
        </w:rPr>
        <w:t xml:space="preserve"> Sydney 2014.</w:t>
      </w:r>
    </w:p>
    <w:p w14:paraId="60A8EF57" w14:textId="77777777" w:rsidR="00130397" w:rsidRPr="002D30E7" w:rsidRDefault="00130397" w:rsidP="00D841A8">
      <w:pPr>
        <w:pStyle w:val="EndnoteText"/>
        <w:mirrorIndents/>
        <w:rPr>
          <w:rFonts w:cstheme="minorHAnsi"/>
          <w:sz w:val="22"/>
          <w:szCs w:val="22"/>
          <w:lang w:val="en-AU"/>
        </w:rPr>
      </w:pPr>
    </w:p>
  </w:endnote>
  <w:endnote w:id="35">
    <w:p w14:paraId="6C4827B5" w14:textId="77777777" w:rsidR="00130397" w:rsidRPr="002D30E7" w:rsidRDefault="00130397" w:rsidP="00D841A8">
      <w:pPr>
        <w:pStyle w:val="EndNoteBibliography"/>
        <w:spacing w:after="0"/>
        <w:mirrorIndents/>
        <w:rPr>
          <w:rFonts w:asciiTheme="minorHAnsi" w:hAnsiTheme="minorHAnsi" w:cstheme="minorHAnsi"/>
        </w:rPr>
      </w:pPr>
      <w:r w:rsidRPr="002D30E7">
        <w:rPr>
          <w:rStyle w:val="EndnoteReference"/>
          <w:rFonts w:asciiTheme="minorHAnsi" w:hAnsiTheme="minorHAnsi" w:cstheme="minorHAnsi"/>
        </w:rPr>
        <w:endnoteRef/>
      </w:r>
      <w:r w:rsidRPr="002D30E7">
        <w:rPr>
          <w:rFonts w:asciiTheme="minorHAnsi" w:hAnsiTheme="minorHAnsi" w:cstheme="minorHAnsi"/>
        </w:rPr>
        <w:t xml:space="preserve"> Australian Commission on Safety and Quality in Health Care, Health Quality &amp; Safety Commission New Zealand. </w:t>
      </w:r>
      <w:r w:rsidRPr="002D30E7">
        <w:rPr>
          <w:rFonts w:asciiTheme="minorHAnsi" w:hAnsiTheme="minorHAnsi" w:cstheme="minorHAnsi"/>
          <w:i/>
        </w:rPr>
        <w:t>Hip Fracture Care Clinical Care Standard.</w:t>
      </w:r>
      <w:r w:rsidRPr="002D30E7">
        <w:rPr>
          <w:rFonts w:asciiTheme="minorHAnsi" w:hAnsiTheme="minorHAnsi" w:cstheme="minorHAnsi"/>
        </w:rPr>
        <w:t xml:space="preserve"> Sydney 2016.</w:t>
      </w:r>
    </w:p>
    <w:p w14:paraId="79EAD48B" w14:textId="418BA8CE" w:rsidR="00130397" w:rsidRPr="002D30E7" w:rsidRDefault="00130397" w:rsidP="00D841A8">
      <w:pPr>
        <w:pStyle w:val="EndnoteText"/>
        <w:mirrorIndents/>
        <w:rPr>
          <w:rFonts w:cstheme="minorHAnsi"/>
          <w:sz w:val="22"/>
          <w:szCs w:val="22"/>
          <w:lang w:val="en-AU"/>
        </w:rPr>
      </w:pPr>
    </w:p>
  </w:endnote>
  <w:endnote w:id="36">
    <w:p w14:paraId="670DA729" w14:textId="77777777" w:rsidR="00130397" w:rsidRPr="002D30E7" w:rsidRDefault="00130397" w:rsidP="00D841A8">
      <w:pPr>
        <w:pStyle w:val="EndNoteBibliography"/>
        <w:spacing w:after="0"/>
        <w:mirrorIndents/>
        <w:rPr>
          <w:rFonts w:asciiTheme="minorHAnsi" w:hAnsiTheme="minorHAnsi" w:cstheme="minorHAnsi"/>
        </w:rPr>
      </w:pPr>
      <w:r w:rsidRPr="002D30E7">
        <w:rPr>
          <w:rStyle w:val="EndnoteReference"/>
          <w:rFonts w:asciiTheme="minorHAnsi" w:hAnsiTheme="minorHAnsi" w:cstheme="minorHAnsi"/>
        </w:rPr>
        <w:endnoteRef/>
      </w:r>
      <w:r w:rsidRPr="002D30E7">
        <w:rPr>
          <w:rFonts w:asciiTheme="minorHAnsi" w:hAnsiTheme="minorHAnsi" w:cstheme="minorHAnsi"/>
        </w:rPr>
        <w:t xml:space="preserve"> ANZHFR Annual Report for Hip Fracture Care 2015, July 2016. Australian and New Zealand Hip Fracture Registry, 2016.</w:t>
      </w:r>
    </w:p>
    <w:p w14:paraId="62BBB601" w14:textId="77777777" w:rsidR="00130397" w:rsidRPr="002D30E7" w:rsidRDefault="00130397" w:rsidP="00D841A8">
      <w:pPr>
        <w:pStyle w:val="EndnoteText"/>
        <w:mirrorIndents/>
        <w:rPr>
          <w:rFonts w:cstheme="minorHAnsi"/>
          <w:sz w:val="22"/>
          <w:szCs w:val="22"/>
          <w:lang w:val="en-AU"/>
        </w:rPr>
      </w:pPr>
    </w:p>
  </w:endnote>
  <w:endnote w:id="37">
    <w:p w14:paraId="4AA33605" w14:textId="5D545F09" w:rsidR="00130397" w:rsidRPr="002D30E7" w:rsidRDefault="00130397" w:rsidP="00D841A8">
      <w:pPr>
        <w:pStyle w:val="EndNoteBibliography"/>
        <w:spacing w:after="0"/>
        <w:mirrorIndents/>
      </w:pPr>
      <w:r w:rsidRPr="002D30E7">
        <w:rPr>
          <w:rStyle w:val="EndnoteReference"/>
          <w:rFonts w:asciiTheme="minorHAnsi" w:hAnsiTheme="minorHAnsi" w:cstheme="minorHAnsi"/>
        </w:rPr>
        <w:endnoteRef/>
      </w:r>
      <w:r w:rsidRPr="002D30E7">
        <w:rPr>
          <w:rFonts w:asciiTheme="minorHAnsi" w:hAnsiTheme="minorHAnsi" w:cstheme="minorHAnsi"/>
        </w:rPr>
        <w:t xml:space="preserve"> ANZHFR Bi-National Annual Report for Hip Fracture Care 2017. Australian and New Zealand Hip Fracture Registry, July 2017.</w:t>
      </w:r>
    </w:p>
    <w:p w14:paraId="4CBA2519" w14:textId="77777777" w:rsidR="00130397" w:rsidRPr="002D30E7" w:rsidRDefault="00130397" w:rsidP="00D841A8">
      <w:pPr>
        <w:pStyle w:val="EndnoteText"/>
        <w:mirrorIndents/>
        <w:rPr>
          <w:rFonts w:cstheme="minorHAnsi"/>
          <w:sz w:val="22"/>
          <w:szCs w:val="22"/>
          <w:lang w:val="en-AU"/>
        </w:rPr>
      </w:pPr>
    </w:p>
  </w:endnote>
  <w:endnote w:id="38">
    <w:p w14:paraId="5C95F2B7" w14:textId="470A8E96" w:rsidR="00130397" w:rsidRPr="002D30E7" w:rsidRDefault="00130397" w:rsidP="00D841A8">
      <w:pPr>
        <w:pStyle w:val="EndnoteText"/>
        <w:mirrorIndents/>
        <w:rPr>
          <w:rFonts w:cstheme="minorHAnsi"/>
          <w:sz w:val="22"/>
          <w:szCs w:val="22"/>
        </w:rPr>
      </w:pPr>
      <w:r w:rsidRPr="002D30E7">
        <w:rPr>
          <w:rStyle w:val="EndnoteReference"/>
          <w:rFonts w:cstheme="minorHAnsi"/>
          <w:sz w:val="22"/>
          <w:szCs w:val="22"/>
        </w:rPr>
        <w:endnoteRef/>
      </w:r>
      <w:r w:rsidRPr="002D30E7">
        <w:rPr>
          <w:rFonts w:cstheme="minorHAnsi"/>
          <w:sz w:val="22"/>
          <w:szCs w:val="22"/>
        </w:rPr>
        <w:t xml:space="preserve"> ANZHFR Bi-National Annual Report for Hip Fracture Care 2018. Australian and New Zealand Hip Fracture Registry, August 2018.</w:t>
      </w:r>
    </w:p>
    <w:p w14:paraId="7B0CEC33" w14:textId="77777777" w:rsidR="00130397" w:rsidRPr="002D30E7" w:rsidRDefault="00130397" w:rsidP="00D841A8">
      <w:pPr>
        <w:pStyle w:val="EndnoteText"/>
        <w:mirrorIndents/>
        <w:rPr>
          <w:rFonts w:cstheme="minorHAnsi"/>
          <w:sz w:val="22"/>
          <w:szCs w:val="22"/>
          <w:lang w:val="en-AU"/>
        </w:rPr>
      </w:pPr>
    </w:p>
  </w:endnote>
  <w:endnote w:id="39">
    <w:p w14:paraId="630682DA" w14:textId="77777777" w:rsidR="00130397" w:rsidRPr="002D30E7" w:rsidRDefault="00130397" w:rsidP="00D841A8">
      <w:pPr>
        <w:pStyle w:val="EndNoteBibliography"/>
        <w:spacing w:after="0"/>
        <w:mirrorIndents/>
        <w:rPr>
          <w:rFonts w:asciiTheme="minorHAnsi" w:hAnsiTheme="minorHAnsi" w:cstheme="minorHAnsi"/>
        </w:rPr>
      </w:pPr>
      <w:r w:rsidRPr="002D30E7">
        <w:rPr>
          <w:rStyle w:val="EndnoteReference"/>
          <w:rFonts w:asciiTheme="minorHAnsi" w:hAnsiTheme="minorHAnsi" w:cstheme="minorHAnsi"/>
        </w:rPr>
        <w:endnoteRef/>
      </w:r>
      <w:r w:rsidRPr="002D30E7">
        <w:rPr>
          <w:rFonts w:asciiTheme="minorHAnsi" w:hAnsiTheme="minorHAnsi" w:cstheme="minorHAnsi"/>
        </w:rPr>
        <w:t xml:space="preserve"> ANZHFR Bi-National Annual Report for Hip Fracture Care, Supplementary Report, Australian State and Territories 2018. Australian and New Zealand Hip Fracture Registry, August 2018.</w:t>
      </w:r>
    </w:p>
    <w:p w14:paraId="64CDF681" w14:textId="7D3CAD53" w:rsidR="00130397" w:rsidRPr="002D30E7" w:rsidRDefault="00130397" w:rsidP="00D841A8">
      <w:pPr>
        <w:pStyle w:val="EndnoteText"/>
        <w:mirrorIndents/>
        <w:rPr>
          <w:rFonts w:cstheme="minorHAnsi"/>
          <w:sz w:val="22"/>
          <w:szCs w:val="22"/>
          <w:lang w:val="en-AU"/>
        </w:rPr>
      </w:pPr>
    </w:p>
  </w:endnote>
  <w:endnote w:id="40">
    <w:p w14:paraId="674FF5FB" w14:textId="323833B2" w:rsidR="00130397" w:rsidRPr="002D30E7" w:rsidRDefault="00130397" w:rsidP="00D841A8">
      <w:pPr>
        <w:pStyle w:val="EndnoteText"/>
        <w:mirrorIndents/>
        <w:rPr>
          <w:rFonts w:cstheme="minorHAnsi"/>
          <w:sz w:val="22"/>
          <w:szCs w:val="22"/>
        </w:rPr>
      </w:pPr>
      <w:r w:rsidRPr="002D30E7">
        <w:rPr>
          <w:rStyle w:val="EndnoteReference"/>
          <w:sz w:val="22"/>
          <w:szCs w:val="22"/>
        </w:rPr>
        <w:endnoteRef/>
      </w:r>
      <w:r w:rsidRPr="002D30E7">
        <w:rPr>
          <w:sz w:val="22"/>
          <w:szCs w:val="22"/>
        </w:rPr>
        <w:t xml:space="preserve"> </w:t>
      </w:r>
      <w:r w:rsidRPr="002D30E7">
        <w:rPr>
          <w:rFonts w:cstheme="minorHAnsi"/>
          <w:sz w:val="22"/>
          <w:szCs w:val="22"/>
        </w:rPr>
        <w:t>ANZHFR Bi-National Annual Report for Hip Fracture Care 2019. Australian and New Zealand Hip Fracture Registry, August 2019.</w:t>
      </w:r>
    </w:p>
    <w:p w14:paraId="28618EF3" w14:textId="77C2AAF9" w:rsidR="00130397" w:rsidRPr="002D30E7" w:rsidRDefault="00130397" w:rsidP="00D841A8">
      <w:pPr>
        <w:pStyle w:val="EndnoteText"/>
        <w:mirrorIndents/>
        <w:rPr>
          <w:sz w:val="22"/>
          <w:szCs w:val="22"/>
          <w:lang w:val="en-AU"/>
        </w:rPr>
      </w:pPr>
    </w:p>
  </w:endnote>
  <w:endnote w:id="41">
    <w:p w14:paraId="014A5A69" w14:textId="2F0E92BE" w:rsidR="00130397" w:rsidRPr="002D30E7" w:rsidRDefault="00130397" w:rsidP="00D841A8">
      <w:pPr>
        <w:pStyle w:val="EndnoteText"/>
        <w:mirrorIndents/>
        <w:rPr>
          <w:rFonts w:cstheme="minorHAnsi"/>
          <w:sz w:val="22"/>
          <w:szCs w:val="22"/>
        </w:rPr>
      </w:pPr>
      <w:r w:rsidRPr="002D30E7">
        <w:rPr>
          <w:rStyle w:val="EndnoteReference"/>
          <w:sz w:val="22"/>
          <w:szCs w:val="22"/>
        </w:rPr>
        <w:endnoteRef/>
      </w:r>
      <w:r w:rsidRPr="002D30E7">
        <w:rPr>
          <w:sz w:val="22"/>
          <w:szCs w:val="22"/>
        </w:rPr>
        <w:t xml:space="preserve"> </w:t>
      </w:r>
      <w:r w:rsidRPr="002D30E7">
        <w:rPr>
          <w:rFonts w:cstheme="minorHAnsi"/>
          <w:sz w:val="22"/>
          <w:szCs w:val="22"/>
        </w:rPr>
        <w:t>ANZHFR Bi-National Annual Report for Hip Fracture Care, Supplementary Report, Australian State and Territories 2019. Australian and New Zealand Hip Fracture Registry, August 2019.</w:t>
      </w:r>
    </w:p>
    <w:p w14:paraId="1F31C126" w14:textId="77777777" w:rsidR="00130397" w:rsidRPr="002D30E7" w:rsidRDefault="00130397" w:rsidP="00D841A8">
      <w:pPr>
        <w:pStyle w:val="EndnoteText"/>
        <w:mirrorIndents/>
        <w:rPr>
          <w:sz w:val="22"/>
          <w:szCs w:val="22"/>
          <w:lang w:val="en-AU"/>
        </w:rPr>
      </w:pPr>
    </w:p>
  </w:endnote>
  <w:endnote w:id="42">
    <w:p w14:paraId="0EFA1593" w14:textId="78CAF8C3" w:rsidR="00130397" w:rsidRPr="002D30E7" w:rsidRDefault="00130397" w:rsidP="00D841A8">
      <w:pPr>
        <w:pStyle w:val="EndnoteText"/>
        <w:mirrorIndents/>
        <w:rPr>
          <w:rFonts w:cstheme="minorHAnsi"/>
          <w:sz w:val="22"/>
          <w:szCs w:val="22"/>
        </w:rPr>
      </w:pPr>
      <w:r w:rsidRPr="002D30E7">
        <w:rPr>
          <w:rStyle w:val="EndnoteReference"/>
          <w:rFonts w:cstheme="minorHAnsi"/>
          <w:sz w:val="22"/>
          <w:szCs w:val="22"/>
        </w:rPr>
        <w:endnoteRef/>
      </w:r>
      <w:r>
        <w:rPr>
          <w:rFonts w:cstheme="minorHAnsi"/>
          <w:sz w:val="22"/>
          <w:szCs w:val="22"/>
        </w:rPr>
        <w:t xml:space="preserve"> </w:t>
      </w:r>
      <w:r w:rsidRPr="002D30E7">
        <w:rPr>
          <w:rFonts w:cstheme="minorHAnsi"/>
          <w:sz w:val="22"/>
          <w:szCs w:val="22"/>
          <w:lang w:val="en-AU"/>
        </w:rPr>
        <w:t xml:space="preserve">Australian Commission on Safety and Quality in Healthcare. Our Work. </w:t>
      </w:r>
      <w:hyperlink r:id="rId3" w:history="1">
        <w:r w:rsidRPr="002D30E7">
          <w:rPr>
            <w:rStyle w:val="Hyperlink"/>
            <w:rFonts w:cstheme="minorHAnsi"/>
            <w:sz w:val="22"/>
            <w:szCs w:val="22"/>
          </w:rPr>
          <w:t>https://www.safetyandquality.gov.au/our-work</w:t>
        </w:r>
      </w:hyperlink>
      <w:r w:rsidRPr="002D30E7">
        <w:rPr>
          <w:rFonts w:cstheme="minorHAnsi"/>
          <w:sz w:val="22"/>
          <w:szCs w:val="22"/>
        </w:rPr>
        <w:t>. Accessed 22 August 2019</w:t>
      </w:r>
    </w:p>
    <w:p w14:paraId="52B8E8A5" w14:textId="77777777" w:rsidR="00130397" w:rsidRPr="002D30E7" w:rsidRDefault="00130397" w:rsidP="00D841A8">
      <w:pPr>
        <w:pStyle w:val="EndnoteText"/>
        <w:mirrorIndents/>
        <w:rPr>
          <w:rFonts w:cstheme="minorHAnsi"/>
          <w:sz w:val="22"/>
          <w:szCs w:val="22"/>
          <w:lang w:val="en-AU"/>
        </w:rPr>
      </w:pPr>
    </w:p>
  </w:endnote>
  <w:endnote w:id="43">
    <w:p w14:paraId="62A18798" w14:textId="50162382" w:rsidR="00130397" w:rsidRPr="002D30E7" w:rsidRDefault="00130397" w:rsidP="00D841A8">
      <w:pPr>
        <w:pStyle w:val="EndnoteText"/>
        <w:mirrorIndents/>
        <w:rPr>
          <w:rFonts w:cstheme="minorHAnsi"/>
          <w:sz w:val="22"/>
          <w:szCs w:val="22"/>
        </w:rPr>
      </w:pPr>
      <w:r w:rsidRPr="002D30E7">
        <w:rPr>
          <w:rStyle w:val="EndnoteReference"/>
          <w:rFonts w:cstheme="minorHAnsi"/>
          <w:sz w:val="22"/>
          <w:szCs w:val="22"/>
        </w:rPr>
        <w:endnoteRef/>
      </w:r>
      <w:r w:rsidRPr="002D30E7">
        <w:rPr>
          <w:rFonts w:cstheme="minorHAnsi"/>
          <w:sz w:val="22"/>
          <w:szCs w:val="22"/>
        </w:rPr>
        <w:t xml:space="preserve"> Australian Commission on Safety and Quality in Health Care. The state of patient safety and quality in Australian hospitals 2019. Sydney; ACSQHC, 2019.</w:t>
      </w:r>
    </w:p>
    <w:p w14:paraId="7C5D0DEF" w14:textId="77777777" w:rsidR="00130397" w:rsidRPr="002D30E7" w:rsidRDefault="00130397" w:rsidP="00D841A8">
      <w:pPr>
        <w:pStyle w:val="EndnoteText"/>
        <w:mirrorIndents/>
        <w:rPr>
          <w:rFonts w:cstheme="minorHAnsi"/>
          <w:sz w:val="22"/>
          <w:szCs w:val="22"/>
          <w:lang w:val="en-AU"/>
        </w:rPr>
      </w:pPr>
    </w:p>
  </w:endnote>
  <w:endnote w:id="44">
    <w:p w14:paraId="11F11944" w14:textId="77777777" w:rsidR="00130397" w:rsidRPr="002D30E7" w:rsidRDefault="00130397" w:rsidP="00D841A8">
      <w:pPr>
        <w:pStyle w:val="CommentText"/>
        <w:spacing w:after="0"/>
        <w:mirrorIndents/>
        <w:rPr>
          <w:rFonts w:cstheme="minorHAnsi"/>
          <w:sz w:val="22"/>
          <w:szCs w:val="22"/>
        </w:rPr>
      </w:pPr>
      <w:r w:rsidRPr="002D30E7">
        <w:rPr>
          <w:rStyle w:val="EndnoteReference"/>
          <w:rFonts w:cstheme="minorHAnsi"/>
          <w:sz w:val="22"/>
          <w:szCs w:val="22"/>
        </w:rPr>
        <w:endnoteRef/>
      </w:r>
      <w:r w:rsidRPr="002D30E7">
        <w:rPr>
          <w:rFonts w:cstheme="minorHAnsi"/>
          <w:sz w:val="22"/>
          <w:szCs w:val="22"/>
        </w:rPr>
        <w:t xml:space="preserve"> The Australian Institute of Health and Welfare. Metadata Online Registry. National Healthcare Agreement (2019). </w:t>
      </w:r>
      <w:hyperlink r:id="rId4" w:history="1">
        <w:r w:rsidRPr="002D30E7">
          <w:rPr>
            <w:rStyle w:val="Hyperlink"/>
            <w:rFonts w:cstheme="minorHAnsi"/>
            <w:sz w:val="22"/>
            <w:szCs w:val="22"/>
          </w:rPr>
          <w:t>https://meteor.aihw.gov.au/content/index.phtml/itemId/698954</w:t>
        </w:r>
      </w:hyperlink>
      <w:r w:rsidRPr="002D30E7">
        <w:rPr>
          <w:rFonts w:cstheme="minorHAnsi"/>
          <w:sz w:val="22"/>
          <w:szCs w:val="22"/>
        </w:rPr>
        <w:t>. Accessed 22 August 2019</w:t>
      </w:r>
    </w:p>
    <w:p w14:paraId="4BF11EC4" w14:textId="05B294AF" w:rsidR="00130397" w:rsidRPr="002D30E7" w:rsidRDefault="00130397" w:rsidP="00D841A8">
      <w:pPr>
        <w:pStyle w:val="EndnoteText"/>
        <w:mirrorIndents/>
        <w:rPr>
          <w:rFonts w:cstheme="minorHAnsi"/>
          <w:sz w:val="22"/>
          <w:szCs w:val="22"/>
          <w:lang w:val="en-AU"/>
        </w:rPr>
      </w:pPr>
    </w:p>
  </w:endnote>
  <w:endnote w:id="45">
    <w:p w14:paraId="289B41D4" w14:textId="77777777" w:rsidR="00130397" w:rsidRPr="002D30E7" w:rsidRDefault="00130397" w:rsidP="00D841A8">
      <w:pPr>
        <w:pStyle w:val="CommentText"/>
        <w:spacing w:after="0"/>
        <w:mirrorIndents/>
        <w:rPr>
          <w:rFonts w:cstheme="minorHAnsi"/>
          <w:sz w:val="22"/>
          <w:szCs w:val="22"/>
        </w:rPr>
      </w:pPr>
      <w:r w:rsidRPr="002D30E7">
        <w:rPr>
          <w:rStyle w:val="EndnoteReference"/>
          <w:rFonts w:cstheme="minorHAnsi"/>
          <w:sz w:val="22"/>
          <w:szCs w:val="22"/>
        </w:rPr>
        <w:endnoteRef/>
      </w:r>
      <w:r w:rsidRPr="002D30E7">
        <w:rPr>
          <w:rFonts w:cstheme="minorHAnsi"/>
          <w:sz w:val="22"/>
          <w:szCs w:val="22"/>
        </w:rPr>
        <w:t xml:space="preserve"> Council of Australian Governments. Heads of Agreement between the Commonwealth and the States and Territories on public hospital funding and health reform. February 2018. </w:t>
      </w:r>
      <w:hyperlink r:id="rId5" w:history="1">
        <w:r w:rsidRPr="002D30E7">
          <w:rPr>
            <w:rStyle w:val="Hyperlink"/>
            <w:rFonts w:cstheme="minorHAnsi"/>
            <w:sz w:val="22"/>
            <w:szCs w:val="22"/>
          </w:rPr>
          <w:t>https://www.coag.gov.au/sites/default/files/agreements/heads-of-agreement-hospital-funding.pdf</w:t>
        </w:r>
      </w:hyperlink>
      <w:r w:rsidRPr="002D30E7">
        <w:rPr>
          <w:rStyle w:val="Hyperlink"/>
          <w:rFonts w:cstheme="minorHAnsi"/>
          <w:sz w:val="22"/>
          <w:szCs w:val="22"/>
        </w:rPr>
        <w:t xml:space="preserve">. </w:t>
      </w:r>
      <w:r w:rsidRPr="002D30E7">
        <w:rPr>
          <w:rFonts w:cstheme="minorHAnsi"/>
          <w:sz w:val="22"/>
          <w:szCs w:val="22"/>
        </w:rPr>
        <w:t>Accessed 22 August 2019</w:t>
      </w:r>
    </w:p>
    <w:p w14:paraId="3114300E" w14:textId="68B145CF" w:rsidR="00130397" w:rsidRPr="002D30E7" w:rsidRDefault="00130397" w:rsidP="00D841A8">
      <w:pPr>
        <w:pStyle w:val="EndnoteText"/>
        <w:mirrorIndents/>
        <w:rPr>
          <w:rFonts w:cstheme="minorHAnsi"/>
          <w:sz w:val="22"/>
          <w:szCs w:val="22"/>
          <w:lang w:val="en-AU"/>
        </w:rPr>
      </w:pPr>
    </w:p>
  </w:endnote>
  <w:endnote w:id="46">
    <w:p w14:paraId="1288AA9D" w14:textId="77777777" w:rsidR="00130397" w:rsidRPr="002D30E7" w:rsidRDefault="00130397" w:rsidP="00D841A8">
      <w:pPr>
        <w:pStyle w:val="CommentText"/>
        <w:spacing w:after="0"/>
        <w:mirrorIndents/>
        <w:rPr>
          <w:rFonts w:cstheme="minorHAnsi"/>
          <w:sz w:val="22"/>
          <w:szCs w:val="22"/>
        </w:rPr>
      </w:pPr>
      <w:r w:rsidRPr="002D30E7">
        <w:rPr>
          <w:rStyle w:val="EndnoteReference"/>
          <w:rFonts w:cstheme="minorHAnsi"/>
          <w:sz w:val="22"/>
          <w:szCs w:val="22"/>
        </w:rPr>
        <w:endnoteRef/>
      </w:r>
      <w:r w:rsidRPr="002D30E7">
        <w:rPr>
          <w:rFonts w:cstheme="minorHAnsi"/>
          <w:sz w:val="22"/>
          <w:szCs w:val="22"/>
        </w:rPr>
        <w:t xml:space="preserve"> Department of Health. Our Health: Better health and wellbeing for all Australians. Corporate Plan 2018 – 2019. </w:t>
      </w:r>
      <w:hyperlink r:id="rId6" w:history="1">
        <w:r w:rsidRPr="002D30E7">
          <w:rPr>
            <w:rStyle w:val="Hyperlink"/>
            <w:rFonts w:cstheme="minorHAnsi"/>
            <w:sz w:val="22"/>
            <w:szCs w:val="22"/>
          </w:rPr>
          <w:t>https://www.health.gov.au/resources/publications/corporate-plan-2018-2019</w:t>
        </w:r>
      </w:hyperlink>
      <w:r w:rsidRPr="002D30E7">
        <w:rPr>
          <w:rFonts w:cstheme="minorHAnsi"/>
          <w:sz w:val="22"/>
          <w:szCs w:val="22"/>
        </w:rPr>
        <w:t>. Accessed 22 August 2019</w:t>
      </w:r>
    </w:p>
    <w:p w14:paraId="536F75E0" w14:textId="744D9BF2" w:rsidR="00130397" w:rsidRPr="002D30E7" w:rsidRDefault="00130397" w:rsidP="00D841A8">
      <w:pPr>
        <w:pStyle w:val="EndnoteText"/>
        <w:mirrorIndents/>
        <w:rPr>
          <w:rFonts w:cstheme="minorHAnsi"/>
          <w:sz w:val="22"/>
          <w:szCs w:val="22"/>
          <w:lang w:val="en-AU"/>
        </w:rPr>
      </w:pPr>
    </w:p>
  </w:endnote>
  <w:endnote w:id="47">
    <w:p w14:paraId="076D6D2A" w14:textId="3197E6CB" w:rsidR="00130397" w:rsidRPr="002D30E7" w:rsidRDefault="00130397" w:rsidP="00D841A8">
      <w:pPr>
        <w:pStyle w:val="EndNoteBibliography"/>
        <w:spacing w:after="0"/>
        <w:mirrorIndents/>
        <w:rPr>
          <w:rFonts w:asciiTheme="minorHAnsi" w:hAnsiTheme="minorHAnsi" w:cstheme="minorHAnsi"/>
        </w:rPr>
      </w:pPr>
      <w:r w:rsidRPr="002D30E7">
        <w:rPr>
          <w:rStyle w:val="EndnoteReference"/>
          <w:rFonts w:asciiTheme="minorHAnsi" w:hAnsiTheme="minorHAnsi" w:cstheme="minorHAnsi"/>
        </w:rPr>
        <w:endnoteRef/>
      </w:r>
      <w:r w:rsidRPr="002D30E7">
        <w:rPr>
          <w:rFonts w:asciiTheme="minorHAnsi" w:hAnsiTheme="minorHAnsi" w:cstheme="minorHAnsi"/>
        </w:rPr>
        <w:t xml:space="preserve"> Dodson I. Improving the journey for hip fracture patients.</w:t>
      </w:r>
      <w:r>
        <w:rPr>
          <w:rFonts w:asciiTheme="minorHAnsi" w:hAnsiTheme="minorHAnsi" w:cstheme="minorHAnsi"/>
        </w:rPr>
        <w:t xml:space="preserve"> </w:t>
      </w:r>
      <w:hyperlink r:id="rId7" w:history="1">
        <w:r w:rsidRPr="002D30E7">
          <w:rPr>
            <w:rStyle w:val="Hyperlink"/>
            <w:rFonts w:asciiTheme="minorHAnsi" w:hAnsiTheme="minorHAnsi" w:cstheme="minorHAnsi"/>
          </w:rPr>
          <w:t>http://koawatea.co.nz/improving-the-journey-for-hip-fracture-patients/</w:t>
        </w:r>
      </w:hyperlink>
      <w:r w:rsidRPr="002D30E7">
        <w:rPr>
          <w:rFonts w:asciiTheme="minorHAnsi" w:hAnsiTheme="minorHAnsi" w:cstheme="minorHAnsi"/>
        </w:rPr>
        <w:t>. Accessed 22 September 2016.</w:t>
      </w:r>
    </w:p>
    <w:p w14:paraId="176A9652" w14:textId="26E748B6" w:rsidR="00130397" w:rsidRPr="002D30E7" w:rsidRDefault="00130397" w:rsidP="00D841A8">
      <w:pPr>
        <w:pStyle w:val="EndnoteText"/>
        <w:mirrorIndents/>
        <w:rPr>
          <w:rFonts w:cstheme="minorHAnsi"/>
          <w:sz w:val="22"/>
          <w:szCs w:val="22"/>
          <w:lang w:val="en-AU"/>
        </w:rPr>
      </w:pPr>
    </w:p>
  </w:endnote>
  <w:endnote w:id="48">
    <w:p w14:paraId="7782FBB9" w14:textId="77777777" w:rsidR="00130397" w:rsidRPr="002D30E7" w:rsidRDefault="00130397" w:rsidP="00D841A8">
      <w:pPr>
        <w:pStyle w:val="EndNoteBibliography"/>
        <w:spacing w:after="0"/>
        <w:mirrorIndents/>
        <w:rPr>
          <w:rFonts w:asciiTheme="minorHAnsi" w:hAnsiTheme="minorHAnsi" w:cstheme="minorHAnsi"/>
        </w:rPr>
      </w:pPr>
      <w:r w:rsidRPr="002D30E7">
        <w:rPr>
          <w:rStyle w:val="EndnoteReference"/>
          <w:rFonts w:asciiTheme="minorHAnsi" w:hAnsiTheme="minorHAnsi" w:cstheme="minorHAnsi"/>
        </w:rPr>
        <w:endnoteRef/>
      </w:r>
      <w:r w:rsidRPr="002D30E7">
        <w:rPr>
          <w:rFonts w:asciiTheme="minorHAnsi" w:hAnsiTheme="minorHAnsi" w:cstheme="minorHAnsi"/>
        </w:rPr>
        <w:t xml:space="preserve"> Yousri TA, Khan Z, Chakrabarti D, Fernandes R, Wahab K. Lean thinking: can it improve the outcome of fracture neck of femur patients in a district general hospital? </w:t>
      </w:r>
      <w:r w:rsidRPr="002D30E7">
        <w:rPr>
          <w:rFonts w:asciiTheme="minorHAnsi" w:hAnsiTheme="minorHAnsi" w:cstheme="minorHAnsi"/>
          <w:i/>
        </w:rPr>
        <w:t xml:space="preserve">Injury. </w:t>
      </w:r>
      <w:r w:rsidRPr="002D30E7">
        <w:rPr>
          <w:rFonts w:asciiTheme="minorHAnsi" w:hAnsiTheme="minorHAnsi" w:cstheme="minorHAnsi"/>
        </w:rPr>
        <w:t>Nov 2011;42(11):1234-1237.</w:t>
      </w:r>
    </w:p>
    <w:p w14:paraId="56F20095" w14:textId="1EB1C8DF" w:rsidR="00130397" w:rsidRPr="002D30E7" w:rsidRDefault="00130397" w:rsidP="00D841A8">
      <w:pPr>
        <w:pStyle w:val="EndnoteText"/>
        <w:mirrorIndents/>
        <w:rPr>
          <w:sz w:val="22"/>
          <w:szCs w:val="22"/>
          <w:lang w:val="en-AU"/>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CB88B" w14:textId="26EA2FDA" w:rsidR="00130397" w:rsidRDefault="00130397">
    <w:pPr>
      <w:pStyle w:val="Footer"/>
      <w:jc w:val="right"/>
    </w:pPr>
  </w:p>
  <w:p w14:paraId="5E288C14" w14:textId="77777777" w:rsidR="00130397" w:rsidRPr="00CB54AF" w:rsidRDefault="00130397" w:rsidP="00CB54A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6009442"/>
      <w:docPartObj>
        <w:docPartGallery w:val="Page Numbers (Bottom of Page)"/>
        <w:docPartUnique/>
      </w:docPartObj>
    </w:sdtPr>
    <w:sdtEndPr>
      <w:rPr>
        <w:noProof/>
      </w:rPr>
    </w:sdtEndPr>
    <w:sdtContent>
      <w:p w14:paraId="4C6D7E85" w14:textId="00BC93CD" w:rsidR="00130397" w:rsidRDefault="00130397">
        <w:pPr>
          <w:pStyle w:val="Footer"/>
          <w:jc w:val="right"/>
        </w:pPr>
        <w:r>
          <w:fldChar w:fldCharType="begin"/>
        </w:r>
        <w:r>
          <w:instrText xml:space="preserve"> PAGE   \* MERGEFORMAT </w:instrText>
        </w:r>
        <w:r>
          <w:fldChar w:fldCharType="separate"/>
        </w:r>
        <w:r w:rsidR="00297B41">
          <w:rPr>
            <w:noProof/>
          </w:rPr>
          <w:t>26</w:t>
        </w:r>
        <w:r>
          <w:rPr>
            <w:noProof/>
          </w:rPr>
          <w:fldChar w:fldCharType="end"/>
        </w:r>
      </w:p>
    </w:sdtContent>
  </w:sdt>
  <w:p w14:paraId="598410E2" w14:textId="77777777" w:rsidR="00130397" w:rsidRDefault="0013039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CB78DA" w14:textId="77777777" w:rsidR="00130397" w:rsidRDefault="00130397" w:rsidP="00843660">
      <w:pPr>
        <w:spacing w:after="0" w:line="240" w:lineRule="auto"/>
      </w:pPr>
      <w:r>
        <w:separator/>
      </w:r>
    </w:p>
  </w:footnote>
  <w:footnote w:type="continuationSeparator" w:id="0">
    <w:p w14:paraId="7E7A73BC" w14:textId="77777777" w:rsidR="00130397" w:rsidRDefault="00130397" w:rsidP="008436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53873"/>
    <w:multiLevelType w:val="hybridMultilevel"/>
    <w:tmpl w:val="CEAE6982"/>
    <w:lvl w:ilvl="0" w:tplc="1409000F">
      <w:start w:val="1"/>
      <w:numFmt w:val="decimal"/>
      <w:lvlText w:val="%1."/>
      <w:lvlJc w:val="left"/>
      <w:pPr>
        <w:ind w:left="219" w:hanging="360"/>
      </w:pPr>
    </w:lvl>
    <w:lvl w:ilvl="1" w:tplc="0C09001B">
      <w:start w:val="1"/>
      <w:numFmt w:val="lowerRoman"/>
      <w:lvlText w:val="%2."/>
      <w:lvlJc w:val="right"/>
      <w:pPr>
        <w:ind w:left="939" w:hanging="360"/>
      </w:pPr>
    </w:lvl>
    <w:lvl w:ilvl="2" w:tplc="1409001B" w:tentative="1">
      <w:start w:val="1"/>
      <w:numFmt w:val="lowerRoman"/>
      <w:lvlText w:val="%3."/>
      <w:lvlJc w:val="right"/>
      <w:pPr>
        <w:ind w:left="1659" w:hanging="180"/>
      </w:pPr>
    </w:lvl>
    <w:lvl w:ilvl="3" w:tplc="1409000F" w:tentative="1">
      <w:start w:val="1"/>
      <w:numFmt w:val="decimal"/>
      <w:lvlText w:val="%4."/>
      <w:lvlJc w:val="left"/>
      <w:pPr>
        <w:ind w:left="2379" w:hanging="360"/>
      </w:pPr>
    </w:lvl>
    <w:lvl w:ilvl="4" w:tplc="14090019" w:tentative="1">
      <w:start w:val="1"/>
      <w:numFmt w:val="lowerLetter"/>
      <w:lvlText w:val="%5."/>
      <w:lvlJc w:val="left"/>
      <w:pPr>
        <w:ind w:left="3099" w:hanging="360"/>
      </w:pPr>
    </w:lvl>
    <w:lvl w:ilvl="5" w:tplc="1409001B" w:tentative="1">
      <w:start w:val="1"/>
      <w:numFmt w:val="lowerRoman"/>
      <w:lvlText w:val="%6."/>
      <w:lvlJc w:val="right"/>
      <w:pPr>
        <w:ind w:left="3819" w:hanging="180"/>
      </w:pPr>
    </w:lvl>
    <w:lvl w:ilvl="6" w:tplc="1409000F" w:tentative="1">
      <w:start w:val="1"/>
      <w:numFmt w:val="decimal"/>
      <w:lvlText w:val="%7."/>
      <w:lvlJc w:val="left"/>
      <w:pPr>
        <w:ind w:left="4539" w:hanging="360"/>
      </w:pPr>
    </w:lvl>
    <w:lvl w:ilvl="7" w:tplc="14090019" w:tentative="1">
      <w:start w:val="1"/>
      <w:numFmt w:val="lowerLetter"/>
      <w:lvlText w:val="%8."/>
      <w:lvlJc w:val="left"/>
      <w:pPr>
        <w:ind w:left="5259" w:hanging="360"/>
      </w:pPr>
    </w:lvl>
    <w:lvl w:ilvl="8" w:tplc="1409001B" w:tentative="1">
      <w:start w:val="1"/>
      <w:numFmt w:val="lowerRoman"/>
      <w:lvlText w:val="%9."/>
      <w:lvlJc w:val="right"/>
      <w:pPr>
        <w:ind w:left="5979" w:hanging="180"/>
      </w:pPr>
    </w:lvl>
  </w:abstractNum>
  <w:abstractNum w:abstractNumId="1" w15:restartNumberingAfterBreak="0">
    <w:nsid w:val="02B467AE"/>
    <w:multiLevelType w:val="hybridMultilevel"/>
    <w:tmpl w:val="48D80884"/>
    <w:lvl w:ilvl="0" w:tplc="1409000F">
      <w:start w:val="1"/>
      <w:numFmt w:val="decimal"/>
      <w:lvlText w:val="%1."/>
      <w:lvlJc w:val="left"/>
      <w:pPr>
        <w:ind w:left="360" w:hanging="360"/>
      </w:pPr>
    </w:lvl>
    <w:lvl w:ilvl="1" w:tplc="0C09001B">
      <w:start w:val="1"/>
      <w:numFmt w:val="lowerRoman"/>
      <w:lvlText w:val="%2."/>
      <w:lvlJc w:val="righ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0607710C"/>
    <w:multiLevelType w:val="hybridMultilevel"/>
    <w:tmpl w:val="1C7AF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2B0D57"/>
    <w:multiLevelType w:val="hybridMultilevel"/>
    <w:tmpl w:val="99A4A896"/>
    <w:lvl w:ilvl="0" w:tplc="D4E00E8A">
      <w:start w:val="1"/>
      <w:numFmt w:val="bullet"/>
      <w:lvlText w:val="-"/>
      <w:lvlJc w:val="left"/>
      <w:pPr>
        <w:ind w:left="1440" w:hanging="360"/>
      </w:pPr>
      <w:rPr>
        <w:rFonts w:ascii="Courier New" w:hAnsi="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D31507D"/>
    <w:multiLevelType w:val="hybridMultilevel"/>
    <w:tmpl w:val="3D901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C0742"/>
    <w:multiLevelType w:val="hybridMultilevel"/>
    <w:tmpl w:val="53544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3531C4"/>
    <w:multiLevelType w:val="hybridMultilevel"/>
    <w:tmpl w:val="1758E96C"/>
    <w:lvl w:ilvl="0" w:tplc="1409000F">
      <w:start w:val="1"/>
      <w:numFmt w:val="decimal"/>
      <w:lvlText w:val="%1."/>
      <w:lvlJc w:val="left"/>
      <w:pPr>
        <w:ind w:left="785" w:hanging="360"/>
      </w:pPr>
    </w:lvl>
    <w:lvl w:ilvl="1" w:tplc="D4E00E8A">
      <w:start w:val="1"/>
      <w:numFmt w:val="bullet"/>
      <w:lvlText w:val="-"/>
      <w:lvlJc w:val="left"/>
      <w:pPr>
        <w:ind w:left="1080" w:hanging="360"/>
      </w:pPr>
      <w:rPr>
        <w:rFonts w:ascii="Courier New" w:hAnsi="Courier New" w:hint="default"/>
      </w:r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15E23537"/>
    <w:multiLevelType w:val="hybridMultilevel"/>
    <w:tmpl w:val="93A0E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0E20FE"/>
    <w:multiLevelType w:val="hybridMultilevel"/>
    <w:tmpl w:val="C24C7ED6"/>
    <w:lvl w:ilvl="0" w:tplc="D4E00E8A">
      <w:start w:val="1"/>
      <w:numFmt w:val="bullet"/>
      <w:lvlText w:val="-"/>
      <w:lvlJc w:val="left"/>
      <w:pPr>
        <w:ind w:left="1080" w:hanging="360"/>
      </w:pPr>
      <w:rPr>
        <w:rFonts w:ascii="Courier New" w:hAnsi="Courier New" w:hint="default"/>
      </w:rPr>
    </w:lvl>
    <w:lvl w:ilvl="1" w:tplc="D4E00E8A">
      <w:start w:val="1"/>
      <w:numFmt w:val="bullet"/>
      <w:lvlText w:val="-"/>
      <w:lvlJc w:val="left"/>
      <w:pPr>
        <w:ind w:left="1777"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BEE2D16"/>
    <w:multiLevelType w:val="hybridMultilevel"/>
    <w:tmpl w:val="CCE04E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1E1727B"/>
    <w:multiLevelType w:val="hybridMultilevel"/>
    <w:tmpl w:val="467A325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23941DE1"/>
    <w:multiLevelType w:val="hybridMultilevel"/>
    <w:tmpl w:val="E494B1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3BD44BB"/>
    <w:multiLevelType w:val="hybridMultilevel"/>
    <w:tmpl w:val="747AFFF0"/>
    <w:lvl w:ilvl="0" w:tplc="1409000F">
      <w:start w:val="1"/>
      <w:numFmt w:val="decimal"/>
      <w:lvlText w:val="%1."/>
      <w:lvlJc w:val="left"/>
      <w:pPr>
        <w:ind w:left="360" w:hanging="360"/>
      </w:pPr>
    </w:lvl>
    <w:lvl w:ilvl="1" w:tplc="0C09001B">
      <w:start w:val="1"/>
      <w:numFmt w:val="lowerRoman"/>
      <w:lvlText w:val="%2."/>
      <w:lvlJc w:val="right"/>
      <w:pPr>
        <w:ind w:left="1080" w:hanging="360"/>
      </w:pPr>
    </w:lvl>
    <w:lvl w:ilvl="2" w:tplc="1409001B">
      <w:start w:val="1"/>
      <w:numFmt w:val="lowerRoman"/>
      <w:lvlText w:val="%3."/>
      <w:lvlJc w:val="right"/>
      <w:pPr>
        <w:ind w:left="89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340E28ED"/>
    <w:multiLevelType w:val="hybridMultilevel"/>
    <w:tmpl w:val="75FA8F24"/>
    <w:lvl w:ilvl="0" w:tplc="D4E00E8A">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8D04035"/>
    <w:multiLevelType w:val="hybridMultilevel"/>
    <w:tmpl w:val="837EFE60"/>
    <w:lvl w:ilvl="0" w:tplc="14090001">
      <w:start w:val="1"/>
      <w:numFmt w:val="bullet"/>
      <w:lvlText w:val=""/>
      <w:lvlJc w:val="left"/>
      <w:pPr>
        <w:ind w:left="720" w:hanging="360"/>
      </w:pPr>
      <w:rPr>
        <w:rFonts w:ascii="Symbol" w:hAnsi="Symbol" w:hint="default"/>
      </w:rPr>
    </w:lvl>
    <w:lvl w:ilvl="1" w:tplc="D4E00E8A">
      <w:start w:val="1"/>
      <w:numFmt w:val="bullet"/>
      <w:lvlText w:val="-"/>
      <w:lvlJc w:val="left"/>
      <w:pPr>
        <w:ind w:left="1440" w:hanging="360"/>
      </w:pPr>
      <w:rPr>
        <w:rFonts w:ascii="Courier New" w:hAnsi="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29E76C8"/>
    <w:multiLevelType w:val="hybridMultilevel"/>
    <w:tmpl w:val="D4FED05E"/>
    <w:lvl w:ilvl="0" w:tplc="0C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6A742EB"/>
    <w:multiLevelType w:val="hybridMultilevel"/>
    <w:tmpl w:val="35D0CD1E"/>
    <w:lvl w:ilvl="0" w:tplc="D4E00E8A">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7763135"/>
    <w:multiLevelType w:val="hybridMultilevel"/>
    <w:tmpl w:val="8C7E2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BC92CEE"/>
    <w:multiLevelType w:val="hybridMultilevel"/>
    <w:tmpl w:val="BE94D9D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F983CD8"/>
    <w:multiLevelType w:val="hybridMultilevel"/>
    <w:tmpl w:val="94D8B4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4063423"/>
    <w:multiLevelType w:val="hybridMultilevel"/>
    <w:tmpl w:val="A0EAAD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45223DA"/>
    <w:multiLevelType w:val="hybridMultilevel"/>
    <w:tmpl w:val="A454A0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A151E09"/>
    <w:multiLevelType w:val="hybridMultilevel"/>
    <w:tmpl w:val="E02E0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233FC8"/>
    <w:multiLevelType w:val="hybridMultilevel"/>
    <w:tmpl w:val="5BFEB6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AF11D4F"/>
    <w:multiLevelType w:val="hybridMultilevel"/>
    <w:tmpl w:val="35F67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CC36D62"/>
    <w:multiLevelType w:val="hybridMultilevel"/>
    <w:tmpl w:val="3CA4A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892721"/>
    <w:multiLevelType w:val="hybridMultilevel"/>
    <w:tmpl w:val="91304AB6"/>
    <w:lvl w:ilvl="0" w:tplc="14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F271CDE"/>
    <w:multiLevelType w:val="hybridMultilevel"/>
    <w:tmpl w:val="243A48A2"/>
    <w:lvl w:ilvl="0" w:tplc="1409000F">
      <w:start w:val="1"/>
      <w:numFmt w:val="decimal"/>
      <w:lvlText w:val="%1."/>
      <w:lvlJc w:val="left"/>
      <w:pPr>
        <w:ind w:left="360" w:hanging="360"/>
      </w:pPr>
    </w:lvl>
    <w:lvl w:ilvl="1" w:tplc="0C09001B">
      <w:start w:val="1"/>
      <w:numFmt w:val="lowerRoman"/>
      <w:lvlText w:val="%2."/>
      <w:lvlJc w:val="righ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8" w15:restartNumberingAfterBreak="0">
    <w:nsid w:val="5FB72E14"/>
    <w:multiLevelType w:val="hybridMultilevel"/>
    <w:tmpl w:val="BD1C7438"/>
    <w:lvl w:ilvl="0" w:tplc="14090001">
      <w:start w:val="1"/>
      <w:numFmt w:val="bullet"/>
      <w:lvlText w:val=""/>
      <w:lvlJc w:val="left"/>
      <w:pPr>
        <w:ind w:left="720" w:hanging="360"/>
      </w:pPr>
      <w:rPr>
        <w:rFonts w:ascii="Symbol" w:hAnsi="Symbol" w:hint="default"/>
      </w:rPr>
    </w:lvl>
    <w:lvl w:ilvl="1" w:tplc="D4E00E8A">
      <w:start w:val="1"/>
      <w:numFmt w:val="bullet"/>
      <w:lvlText w:val="-"/>
      <w:lvlJc w:val="left"/>
      <w:pPr>
        <w:ind w:left="1440" w:hanging="360"/>
      </w:pPr>
      <w:rPr>
        <w:rFonts w:ascii="Courier New" w:hAnsi="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60E7AC7"/>
    <w:multiLevelType w:val="hybridMultilevel"/>
    <w:tmpl w:val="EB408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741735D"/>
    <w:multiLevelType w:val="hybridMultilevel"/>
    <w:tmpl w:val="094CEEB2"/>
    <w:lvl w:ilvl="0" w:tplc="14090001">
      <w:start w:val="1"/>
      <w:numFmt w:val="bullet"/>
      <w:lvlText w:val=""/>
      <w:lvlJc w:val="left"/>
      <w:pPr>
        <w:ind w:left="360" w:hanging="360"/>
      </w:pPr>
      <w:rPr>
        <w:rFonts w:ascii="Symbol" w:hAnsi="Symbol" w:hint="default"/>
      </w:rPr>
    </w:lvl>
    <w:lvl w:ilvl="1" w:tplc="D4E00E8A">
      <w:start w:val="1"/>
      <w:numFmt w:val="bullet"/>
      <w:lvlText w:val="-"/>
      <w:lvlJc w:val="left"/>
      <w:pPr>
        <w:ind w:left="1080" w:hanging="360"/>
      </w:pPr>
      <w:rPr>
        <w:rFonts w:ascii="Courier New" w:hAnsi="Courier New" w:hint="default"/>
      </w:rPr>
    </w:lvl>
    <w:lvl w:ilvl="2" w:tplc="14090005">
      <w:start w:val="1"/>
      <w:numFmt w:val="bullet"/>
      <w:lvlText w:val=""/>
      <w:lvlJc w:val="left"/>
      <w:pPr>
        <w:ind w:left="1800" w:hanging="360"/>
      </w:pPr>
      <w:rPr>
        <w:rFonts w:ascii="Wingdings" w:hAnsi="Wingdings" w:hint="default"/>
      </w:rPr>
    </w:lvl>
    <w:lvl w:ilvl="3" w:tplc="1409000B">
      <w:start w:val="1"/>
      <w:numFmt w:val="bullet"/>
      <w:lvlText w:val=""/>
      <w:lvlJc w:val="left"/>
      <w:pPr>
        <w:ind w:left="2520" w:hanging="360"/>
      </w:pPr>
      <w:rPr>
        <w:rFonts w:ascii="Wingdings" w:hAnsi="Wingdings" w:hint="default"/>
      </w:rPr>
    </w:lvl>
    <w:lvl w:ilvl="4" w:tplc="7D56CB3A">
      <w:start w:val="1"/>
      <w:numFmt w:val="bullet"/>
      <w:lvlText w:val=""/>
      <w:lvlJc w:val="left"/>
      <w:pPr>
        <w:ind w:left="3240" w:hanging="360"/>
      </w:pPr>
      <w:rPr>
        <w:rFonts w:ascii="Symbol" w:hAnsi="Symbol" w:hint="default"/>
        <w:color w:val="auto"/>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6D884807"/>
    <w:multiLevelType w:val="hybridMultilevel"/>
    <w:tmpl w:val="FABE16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4C1516B"/>
    <w:multiLevelType w:val="hybridMultilevel"/>
    <w:tmpl w:val="CBDA06BC"/>
    <w:lvl w:ilvl="0" w:tplc="8A7ACC30">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011F26"/>
    <w:multiLevelType w:val="hybridMultilevel"/>
    <w:tmpl w:val="667E6D1E"/>
    <w:lvl w:ilvl="0" w:tplc="14090001">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B6058A9"/>
    <w:multiLevelType w:val="hybridMultilevel"/>
    <w:tmpl w:val="A04CFE88"/>
    <w:lvl w:ilvl="0" w:tplc="14090001">
      <w:start w:val="1"/>
      <w:numFmt w:val="bullet"/>
      <w:lvlText w:val=""/>
      <w:lvlJc w:val="left"/>
      <w:pPr>
        <w:ind w:left="720" w:hanging="360"/>
      </w:pPr>
      <w:rPr>
        <w:rFonts w:ascii="Symbol" w:hAnsi="Symbol" w:hint="default"/>
      </w:rPr>
    </w:lvl>
    <w:lvl w:ilvl="1" w:tplc="D4E00E8A">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D613BEF"/>
    <w:multiLevelType w:val="hybridMultilevel"/>
    <w:tmpl w:val="1FC8C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AF31E7"/>
    <w:multiLevelType w:val="hybridMultilevel"/>
    <w:tmpl w:val="F04C2C9A"/>
    <w:lvl w:ilvl="0" w:tplc="14090001">
      <w:start w:val="1"/>
      <w:numFmt w:val="bullet"/>
      <w:lvlText w:val=""/>
      <w:lvlJc w:val="left"/>
      <w:pPr>
        <w:ind w:left="720" w:hanging="360"/>
      </w:pPr>
      <w:rPr>
        <w:rFonts w:ascii="Symbol" w:hAnsi="Symbol" w:hint="default"/>
      </w:rPr>
    </w:lvl>
    <w:lvl w:ilvl="1" w:tplc="D4E00E8A">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FC92913"/>
    <w:multiLevelType w:val="hybridMultilevel"/>
    <w:tmpl w:val="AE1CFAFA"/>
    <w:lvl w:ilvl="0" w:tplc="14090001">
      <w:start w:val="1"/>
      <w:numFmt w:val="bullet"/>
      <w:lvlText w:val=""/>
      <w:lvlJc w:val="left"/>
      <w:pPr>
        <w:ind w:left="786" w:hanging="360"/>
      </w:pPr>
      <w:rPr>
        <w:rFonts w:ascii="Symbol" w:hAnsi="Symbol" w:hint="default"/>
      </w:rPr>
    </w:lvl>
    <w:lvl w:ilvl="1" w:tplc="D4E00E8A">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36"/>
  </w:num>
  <w:num w:numId="4">
    <w:abstractNumId w:val="28"/>
  </w:num>
  <w:num w:numId="5">
    <w:abstractNumId w:val="34"/>
  </w:num>
  <w:num w:numId="6">
    <w:abstractNumId w:val="21"/>
  </w:num>
  <w:num w:numId="7">
    <w:abstractNumId w:val="19"/>
  </w:num>
  <w:num w:numId="8">
    <w:abstractNumId w:val="6"/>
  </w:num>
  <w:num w:numId="9">
    <w:abstractNumId w:val="20"/>
  </w:num>
  <w:num w:numId="10">
    <w:abstractNumId w:val="37"/>
  </w:num>
  <w:num w:numId="11">
    <w:abstractNumId w:val="30"/>
  </w:num>
  <w:num w:numId="12">
    <w:abstractNumId w:val="33"/>
  </w:num>
  <w:num w:numId="13">
    <w:abstractNumId w:val="10"/>
  </w:num>
  <w:num w:numId="14">
    <w:abstractNumId w:val="23"/>
  </w:num>
  <w:num w:numId="15">
    <w:abstractNumId w:val="31"/>
  </w:num>
  <w:num w:numId="16">
    <w:abstractNumId w:val="9"/>
  </w:num>
  <w:num w:numId="17">
    <w:abstractNumId w:val="18"/>
  </w:num>
  <w:num w:numId="18">
    <w:abstractNumId w:val="14"/>
  </w:num>
  <w:num w:numId="19">
    <w:abstractNumId w:val="12"/>
  </w:num>
  <w:num w:numId="20">
    <w:abstractNumId w:val="0"/>
  </w:num>
  <w:num w:numId="21">
    <w:abstractNumId w:val="1"/>
  </w:num>
  <w:num w:numId="22">
    <w:abstractNumId w:val="27"/>
  </w:num>
  <w:num w:numId="23">
    <w:abstractNumId w:val="29"/>
  </w:num>
  <w:num w:numId="24">
    <w:abstractNumId w:val="5"/>
  </w:num>
  <w:num w:numId="25">
    <w:abstractNumId w:val="25"/>
  </w:num>
  <w:num w:numId="26">
    <w:abstractNumId w:val="4"/>
  </w:num>
  <w:num w:numId="27">
    <w:abstractNumId w:val="7"/>
  </w:num>
  <w:num w:numId="28">
    <w:abstractNumId w:val="2"/>
  </w:num>
  <w:num w:numId="29">
    <w:abstractNumId w:val="17"/>
  </w:num>
  <w:num w:numId="30">
    <w:abstractNumId w:val="16"/>
  </w:num>
  <w:num w:numId="31">
    <w:abstractNumId w:val="24"/>
  </w:num>
  <w:num w:numId="32">
    <w:abstractNumId w:val="3"/>
  </w:num>
  <w:num w:numId="33">
    <w:abstractNumId w:val="26"/>
  </w:num>
  <w:num w:numId="34">
    <w:abstractNumId w:val="35"/>
  </w:num>
  <w:num w:numId="35">
    <w:abstractNumId w:val="13"/>
  </w:num>
  <w:num w:numId="36">
    <w:abstractNumId w:val="8"/>
  </w:num>
  <w:num w:numId="37">
    <w:abstractNumId w:val="32"/>
  </w:num>
  <w:num w:numId="38">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rchives Internal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5parrrwowsrz8ex5wd52tvmzatt22dr25tp&quot;&gt;WOD 2016 OI Review&lt;record-ids&gt;&lt;item&gt;9&lt;/item&gt;&lt;item&gt;36&lt;/item&gt;&lt;item&gt;39&lt;/item&gt;&lt;item&gt;43&lt;/item&gt;&lt;item&gt;108&lt;/item&gt;&lt;item&gt;109&lt;/item&gt;&lt;item&gt;117&lt;/item&gt;&lt;item&gt;186&lt;/item&gt;&lt;item&gt;285&lt;/item&gt;&lt;item&gt;348&lt;/item&gt;&lt;item&gt;390&lt;/item&gt;&lt;item&gt;399&lt;/item&gt;&lt;item&gt;476&lt;/item&gt;&lt;item&gt;494&lt;/item&gt;&lt;item&gt;497&lt;/item&gt;&lt;item&gt;522&lt;/item&gt;&lt;item&gt;557&lt;/item&gt;&lt;item&gt;572&lt;/item&gt;&lt;item&gt;583&lt;/item&gt;&lt;item&gt;717&lt;/item&gt;&lt;item&gt;737&lt;/item&gt;&lt;item&gt;742&lt;/item&gt;&lt;item&gt;871&lt;/item&gt;&lt;item&gt;931&lt;/item&gt;&lt;item&gt;1124&lt;/item&gt;&lt;item&gt;1125&lt;/item&gt;&lt;item&gt;1268&lt;/item&gt;&lt;item&gt;1410&lt;/item&gt;&lt;item&gt;1430&lt;/item&gt;&lt;item&gt;1431&lt;/item&gt;&lt;item&gt;1432&lt;/item&gt;&lt;item&gt;1433&lt;/item&gt;&lt;item&gt;1434&lt;/item&gt;&lt;item&gt;1435&lt;/item&gt;&lt;item&gt;1436&lt;/item&gt;&lt;item&gt;1437&lt;/item&gt;&lt;item&gt;1438&lt;/item&gt;&lt;item&gt;1439&lt;/item&gt;&lt;item&gt;1440&lt;/item&gt;&lt;item&gt;1441&lt;/item&gt;&lt;item&gt;1442&lt;/item&gt;&lt;item&gt;1443&lt;/item&gt;&lt;item&gt;1444&lt;/item&gt;&lt;item&gt;1445&lt;/item&gt;&lt;item&gt;1451&lt;/item&gt;&lt;item&gt;1452&lt;/item&gt;&lt;/record-ids&gt;&lt;/item&gt;&lt;/Libraries&gt;"/>
  </w:docVars>
  <w:rsids>
    <w:rsidRoot w:val="00F77227"/>
    <w:rsid w:val="00014A9F"/>
    <w:rsid w:val="00016CBF"/>
    <w:rsid w:val="0001734E"/>
    <w:rsid w:val="00025A7F"/>
    <w:rsid w:val="000305B0"/>
    <w:rsid w:val="00032EDF"/>
    <w:rsid w:val="0003357B"/>
    <w:rsid w:val="00043121"/>
    <w:rsid w:val="00046F30"/>
    <w:rsid w:val="000570EC"/>
    <w:rsid w:val="00057CCE"/>
    <w:rsid w:val="00074577"/>
    <w:rsid w:val="00077046"/>
    <w:rsid w:val="00081053"/>
    <w:rsid w:val="000835CE"/>
    <w:rsid w:val="00083B04"/>
    <w:rsid w:val="00085598"/>
    <w:rsid w:val="00095D35"/>
    <w:rsid w:val="000962C9"/>
    <w:rsid w:val="000A0BDC"/>
    <w:rsid w:val="000A16FB"/>
    <w:rsid w:val="000A700E"/>
    <w:rsid w:val="000B261E"/>
    <w:rsid w:val="000B5E5E"/>
    <w:rsid w:val="000C3BF1"/>
    <w:rsid w:val="000C616A"/>
    <w:rsid w:val="000D1B64"/>
    <w:rsid w:val="000F5E74"/>
    <w:rsid w:val="001033B2"/>
    <w:rsid w:val="00106FD5"/>
    <w:rsid w:val="00113649"/>
    <w:rsid w:val="0011749A"/>
    <w:rsid w:val="00124AE0"/>
    <w:rsid w:val="00126A35"/>
    <w:rsid w:val="00130397"/>
    <w:rsid w:val="001309E8"/>
    <w:rsid w:val="001457A9"/>
    <w:rsid w:val="001545BE"/>
    <w:rsid w:val="001645B0"/>
    <w:rsid w:val="0016545D"/>
    <w:rsid w:val="0016557E"/>
    <w:rsid w:val="00173159"/>
    <w:rsid w:val="00174642"/>
    <w:rsid w:val="00183398"/>
    <w:rsid w:val="00185FFF"/>
    <w:rsid w:val="00192FF7"/>
    <w:rsid w:val="00194D28"/>
    <w:rsid w:val="00197018"/>
    <w:rsid w:val="001A0606"/>
    <w:rsid w:val="001A349D"/>
    <w:rsid w:val="001B3BDE"/>
    <w:rsid w:val="001B688A"/>
    <w:rsid w:val="001B7E3B"/>
    <w:rsid w:val="001C1CAF"/>
    <w:rsid w:val="001C4C48"/>
    <w:rsid w:val="001D2185"/>
    <w:rsid w:val="001F7965"/>
    <w:rsid w:val="002063E4"/>
    <w:rsid w:val="002073DB"/>
    <w:rsid w:val="00212E95"/>
    <w:rsid w:val="0022290A"/>
    <w:rsid w:val="002263AB"/>
    <w:rsid w:val="002539A1"/>
    <w:rsid w:val="00254665"/>
    <w:rsid w:val="002565FA"/>
    <w:rsid w:val="002617D1"/>
    <w:rsid w:val="00262873"/>
    <w:rsid w:val="0026297A"/>
    <w:rsid w:val="00274D4C"/>
    <w:rsid w:val="00287A24"/>
    <w:rsid w:val="00291382"/>
    <w:rsid w:val="00291593"/>
    <w:rsid w:val="002943F3"/>
    <w:rsid w:val="00297B41"/>
    <w:rsid w:val="002A1F19"/>
    <w:rsid w:val="002B4378"/>
    <w:rsid w:val="002C2ADB"/>
    <w:rsid w:val="002D30E7"/>
    <w:rsid w:val="002D4835"/>
    <w:rsid w:val="002F3F4D"/>
    <w:rsid w:val="00301AF0"/>
    <w:rsid w:val="00304A7E"/>
    <w:rsid w:val="00307397"/>
    <w:rsid w:val="00311E54"/>
    <w:rsid w:val="00316E98"/>
    <w:rsid w:val="0032130F"/>
    <w:rsid w:val="00325D11"/>
    <w:rsid w:val="00327D82"/>
    <w:rsid w:val="00331729"/>
    <w:rsid w:val="003331A7"/>
    <w:rsid w:val="0034444B"/>
    <w:rsid w:val="003457FE"/>
    <w:rsid w:val="00356314"/>
    <w:rsid w:val="003611B0"/>
    <w:rsid w:val="00365F82"/>
    <w:rsid w:val="003665FA"/>
    <w:rsid w:val="00367896"/>
    <w:rsid w:val="003714A3"/>
    <w:rsid w:val="003714AC"/>
    <w:rsid w:val="0037488D"/>
    <w:rsid w:val="003844F1"/>
    <w:rsid w:val="00384AD6"/>
    <w:rsid w:val="003862FE"/>
    <w:rsid w:val="00387391"/>
    <w:rsid w:val="00387FA6"/>
    <w:rsid w:val="003912D1"/>
    <w:rsid w:val="00394CE0"/>
    <w:rsid w:val="003B00F7"/>
    <w:rsid w:val="003B0FF7"/>
    <w:rsid w:val="003B6950"/>
    <w:rsid w:val="003C328C"/>
    <w:rsid w:val="003C61E0"/>
    <w:rsid w:val="003D1229"/>
    <w:rsid w:val="003D5786"/>
    <w:rsid w:val="003D5957"/>
    <w:rsid w:val="003E2051"/>
    <w:rsid w:val="003F3F6B"/>
    <w:rsid w:val="003F59D6"/>
    <w:rsid w:val="00411C30"/>
    <w:rsid w:val="00424A55"/>
    <w:rsid w:val="0042547D"/>
    <w:rsid w:val="00434559"/>
    <w:rsid w:val="0044197E"/>
    <w:rsid w:val="00443B6C"/>
    <w:rsid w:val="00460CA3"/>
    <w:rsid w:val="004625D7"/>
    <w:rsid w:val="004662E6"/>
    <w:rsid w:val="00473317"/>
    <w:rsid w:val="00473472"/>
    <w:rsid w:val="0048029B"/>
    <w:rsid w:val="0048132B"/>
    <w:rsid w:val="004828E1"/>
    <w:rsid w:val="00483AC4"/>
    <w:rsid w:val="0049596A"/>
    <w:rsid w:val="00496752"/>
    <w:rsid w:val="004A2384"/>
    <w:rsid w:val="004D40F5"/>
    <w:rsid w:val="004E00D7"/>
    <w:rsid w:val="004E1BCB"/>
    <w:rsid w:val="004E5528"/>
    <w:rsid w:val="004E7968"/>
    <w:rsid w:val="004F2E07"/>
    <w:rsid w:val="004F6580"/>
    <w:rsid w:val="00503A88"/>
    <w:rsid w:val="0050469D"/>
    <w:rsid w:val="00510B02"/>
    <w:rsid w:val="005219A2"/>
    <w:rsid w:val="0052215C"/>
    <w:rsid w:val="00525532"/>
    <w:rsid w:val="0052654D"/>
    <w:rsid w:val="00531753"/>
    <w:rsid w:val="00531A8D"/>
    <w:rsid w:val="00533ADC"/>
    <w:rsid w:val="00535706"/>
    <w:rsid w:val="00535E76"/>
    <w:rsid w:val="005409F6"/>
    <w:rsid w:val="00560318"/>
    <w:rsid w:val="005625AF"/>
    <w:rsid w:val="00562C0F"/>
    <w:rsid w:val="00566779"/>
    <w:rsid w:val="00571998"/>
    <w:rsid w:val="00577B75"/>
    <w:rsid w:val="005862A8"/>
    <w:rsid w:val="005867AC"/>
    <w:rsid w:val="0059065C"/>
    <w:rsid w:val="005A0720"/>
    <w:rsid w:val="005A1F62"/>
    <w:rsid w:val="005A7122"/>
    <w:rsid w:val="005B2303"/>
    <w:rsid w:val="005B364A"/>
    <w:rsid w:val="005C0FE2"/>
    <w:rsid w:val="005C672E"/>
    <w:rsid w:val="005D15E6"/>
    <w:rsid w:val="005D1F6C"/>
    <w:rsid w:val="005D38A2"/>
    <w:rsid w:val="005E0E20"/>
    <w:rsid w:val="005E15BC"/>
    <w:rsid w:val="005E326E"/>
    <w:rsid w:val="005E3D85"/>
    <w:rsid w:val="005F120F"/>
    <w:rsid w:val="005F502A"/>
    <w:rsid w:val="005F7764"/>
    <w:rsid w:val="0060000F"/>
    <w:rsid w:val="00601A63"/>
    <w:rsid w:val="006043E3"/>
    <w:rsid w:val="006056B4"/>
    <w:rsid w:val="00611F6E"/>
    <w:rsid w:val="00614983"/>
    <w:rsid w:val="0061666A"/>
    <w:rsid w:val="00617E86"/>
    <w:rsid w:val="006363F3"/>
    <w:rsid w:val="00636A40"/>
    <w:rsid w:val="00640A3B"/>
    <w:rsid w:val="00643314"/>
    <w:rsid w:val="00646272"/>
    <w:rsid w:val="00650961"/>
    <w:rsid w:val="00650A0B"/>
    <w:rsid w:val="00651AA5"/>
    <w:rsid w:val="006719EA"/>
    <w:rsid w:val="00675121"/>
    <w:rsid w:val="006822C4"/>
    <w:rsid w:val="00682826"/>
    <w:rsid w:val="00692268"/>
    <w:rsid w:val="006946B8"/>
    <w:rsid w:val="006A4514"/>
    <w:rsid w:val="006A6C58"/>
    <w:rsid w:val="006A760D"/>
    <w:rsid w:val="006C7301"/>
    <w:rsid w:val="006D072A"/>
    <w:rsid w:val="006D14A2"/>
    <w:rsid w:val="006D7175"/>
    <w:rsid w:val="006F6A81"/>
    <w:rsid w:val="006F6B31"/>
    <w:rsid w:val="00712092"/>
    <w:rsid w:val="00714E80"/>
    <w:rsid w:val="007174B7"/>
    <w:rsid w:val="007231B5"/>
    <w:rsid w:val="007276CF"/>
    <w:rsid w:val="00730B33"/>
    <w:rsid w:val="00735AAA"/>
    <w:rsid w:val="00740E4E"/>
    <w:rsid w:val="00742055"/>
    <w:rsid w:val="007449DA"/>
    <w:rsid w:val="00750733"/>
    <w:rsid w:val="007543B0"/>
    <w:rsid w:val="007607CF"/>
    <w:rsid w:val="0076134A"/>
    <w:rsid w:val="0077771E"/>
    <w:rsid w:val="007805FC"/>
    <w:rsid w:val="007870AB"/>
    <w:rsid w:val="0079612E"/>
    <w:rsid w:val="00797A89"/>
    <w:rsid w:val="007A2704"/>
    <w:rsid w:val="007A373B"/>
    <w:rsid w:val="007A4480"/>
    <w:rsid w:val="007B52E8"/>
    <w:rsid w:val="007D3598"/>
    <w:rsid w:val="007E3887"/>
    <w:rsid w:val="007E3B56"/>
    <w:rsid w:val="007E549B"/>
    <w:rsid w:val="007E69BE"/>
    <w:rsid w:val="007F14BB"/>
    <w:rsid w:val="007F2059"/>
    <w:rsid w:val="007F6D5C"/>
    <w:rsid w:val="0080146E"/>
    <w:rsid w:val="00804032"/>
    <w:rsid w:val="00804CB6"/>
    <w:rsid w:val="00804E5E"/>
    <w:rsid w:val="0080774C"/>
    <w:rsid w:val="00810121"/>
    <w:rsid w:val="00811E40"/>
    <w:rsid w:val="00817EA0"/>
    <w:rsid w:val="00823240"/>
    <w:rsid w:val="00823AB7"/>
    <w:rsid w:val="00827541"/>
    <w:rsid w:val="00830048"/>
    <w:rsid w:val="008307CF"/>
    <w:rsid w:val="008310AC"/>
    <w:rsid w:val="0083239F"/>
    <w:rsid w:val="0083690C"/>
    <w:rsid w:val="0083701F"/>
    <w:rsid w:val="00843660"/>
    <w:rsid w:val="00844B31"/>
    <w:rsid w:val="008544BF"/>
    <w:rsid w:val="008549D9"/>
    <w:rsid w:val="00855A12"/>
    <w:rsid w:val="00866295"/>
    <w:rsid w:val="00866E73"/>
    <w:rsid w:val="0087306C"/>
    <w:rsid w:val="008835FC"/>
    <w:rsid w:val="00884669"/>
    <w:rsid w:val="00886754"/>
    <w:rsid w:val="00891E75"/>
    <w:rsid w:val="008952B7"/>
    <w:rsid w:val="008A1D4D"/>
    <w:rsid w:val="008A3F4F"/>
    <w:rsid w:val="008B19ED"/>
    <w:rsid w:val="008B7C65"/>
    <w:rsid w:val="008C006A"/>
    <w:rsid w:val="008D50E3"/>
    <w:rsid w:val="008D78EB"/>
    <w:rsid w:val="008E4124"/>
    <w:rsid w:val="008F16B5"/>
    <w:rsid w:val="008F79B8"/>
    <w:rsid w:val="00904474"/>
    <w:rsid w:val="00927055"/>
    <w:rsid w:val="009318CA"/>
    <w:rsid w:val="00934456"/>
    <w:rsid w:val="00934DFA"/>
    <w:rsid w:val="009435FD"/>
    <w:rsid w:val="009522E9"/>
    <w:rsid w:val="00965123"/>
    <w:rsid w:val="00966169"/>
    <w:rsid w:val="0097636C"/>
    <w:rsid w:val="00982036"/>
    <w:rsid w:val="00982E51"/>
    <w:rsid w:val="00984C9C"/>
    <w:rsid w:val="00986CA2"/>
    <w:rsid w:val="00991A38"/>
    <w:rsid w:val="00992888"/>
    <w:rsid w:val="009A0213"/>
    <w:rsid w:val="009A2929"/>
    <w:rsid w:val="009A3625"/>
    <w:rsid w:val="009B677F"/>
    <w:rsid w:val="009C1B71"/>
    <w:rsid w:val="009C6E73"/>
    <w:rsid w:val="009D0F08"/>
    <w:rsid w:val="009D21BF"/>
    <w:rsid w:val="009D3CCD"/>
    <w:rsid w:val="009D61C4"/>
    <w:rsid w:val="009E5699"/>
    <w:rsid w:val="009E7C5E"/>
    <w:rsid w:val="009F36B0"/>
    <w:rsid w:val="009F4F29"/>
    <w:rsid w:val="00A01F09"/>
    <w:rsid w:val="00A02225"/>
    <w:rsid w:val="00A06367"/>
    <w:rsid w:val="00A1430A"/>
    <w:rsid w:val="00A20AFA"/>
    <w:rsid w:val="00A26C52"/>
    <w:rsid w:val="00A27CA7"/>
    <w:rsid w:val="00A33C2F"/>
    <w:rsid w:val="00A35689"/>
    <w:rsid w:val="00A375C2"/>
    <w:rsid w:val="00A40630"/>
    <w:rsid w:val="00A448E5"/>
    <w:rsid w:val="00A50708"/>
    <w:rsid w:val="00A54344"/>
    <w:rsid w:val="00A656AE"/>
    <w:rsid w:val="00A71856"/>
    <w:rsid w:val="00A74675"/>
    <w:rsid w:val="00A84294"/>
    <w:rsid w:val="00A86EDD"/>
    <w:rsid w:val="00A934B8"/>
    <w:rsid w:val="00AA0075"/>
    <w:rsid w:val="00AB31A3"/>
    <w:rsid w:val="00AB47E6"/>
    <w:rsid w:val="00AB5633"/>
    <w:rsid w:val="00AC7838"/>
    <w:rsid w:val="00AD37E6"/>
    <w:rsid w:val="00AD5E3C"/>
    <w:rsid w:val="00AD79B0"/>
    <w:rsid w:val="00AD7F0D"/>
    <w:rsid w:val="00AF63B4"/>
    <w:rsid w:val="00AF6A31"/>
    <w:rsid w:val="00B00047"/>
    <w:rsid w:val="00B3081D"/>
    <w:rsid w:val="00B37043"/>
    <w:rsid w:val="00B372D1"/>
    <w:rsid w:val="00B434A3"/>
    <w:rsid w:val="00B51443"/>
    <w:rsid w:val="00B51DE5"/>
    <w:rsid w:val="00B6564D"/>
    <w:rsid w:val="00B670F8"/>
    <w:rsid w:val="00B73FE5"/>
    <w:rsid w:val="00B778C4"/>
    <w:rsid w:val="00B92B3F"/>
    <w:rsid w:val="00BB2521"/>
    <w:rsid w:val="00BC0262"/>
    <w:rsid w:val="00BC60B8"/>
    <w:rsid w:val="00BD1A86"/>
    <w:rsid w:val="00BD1A9E"/>
    <w:rsid w:val="00BD30FB"/>
    <w:rsid w:val="00BD5420"/>
    <w:rsid w:val="00BE4808"/>
    <w:rsid w:val="00BE7357"/>
    <w:rsid w:val="00BF2F5A"/>
    <w:rsid w:val="00BF6659"/>
    <w:rsid w:val="00C13D28"/>
    <w:rsid w:val="00C20294"/>
    <w:rsid w:val="00C225F8"/>
    <w:rsid w:val="00C26D63"/>
    <w:rsid w:val="00C3214E"/>
    <w:rsid w:val="00C328EF"/>
    <w:rsid w:val="00C3350C"/>
    <w:rsid w:val="00C45FE6"/>
    <w:rsid w:val="00C46AEF"/>
    <w:rsid w:val="00C5073B"/>
    <w:rsid w:val="00C60C6D"/>
    <w:rsid w:val="00C67DB5"/>
    <w:rsid w:val="00C707F2"/>
    <w:rsid w:val="00C85B6B"/>
    <w:rsid w:val="00C960A6"/>
    <w:rsid w:val="00CB54AF"/>
    <w:rsid w:val="00CC59E0"/>
    <w:rsid w:val="00CD5291"/>
    <w:rsid w:val="00CD7818"/>
    <w:rsid w:val="00CE2430"/>
    <w:rsid w:val="00CE2EF6"/>
    <w:rsid w:val="00CE3209"/>
    <w:rsid w:val="00CE3261"/>
    <w:rsid w:val="00CF1EB6"/>
    <w:rsid w:val="00CF3E63"/>
    <w:rsid w:val="00D053BA"/>
    <w:rsid w:val="00D06CFF"/>
    <w:rsid w:val="00D24A86"/>
    <w:rsid w:val="00D24DB1"/>
    <w:rsid w:val="00D24DDF"/>
    <w:rsid w:val="00D261D0"/>
    <w:rsid w:val="00D3063B"/>
    <w:rsid w:val="00D347D5"/>
    <w:rsid w:val="00D373D5"/>
    <w:rsid w:val="00D421A1"/>
    <w:rsid w:val="00D445F6"/>
    <w:rsid w:val="00D53524"/>
    <w:rsid w:val="00D635FE"/>
    <w:rsid w:val="00D7189C"/>
    <w:rsid w:val="00D74268"/>
    <w:rsid w:val="00D841A8"/>
    <w:rsid w:val="00D87A70"/>
    <w:rsid w:val="00D91846"/>
    <w:rsid w:val="00D93226"/>
    <w:rsid w:val="00D94E53"/>
    <w:rsid w:val="00DA14C5"/>
    <w:rsid w:val="00DA6882"/>
    <w:rsid w:val="00DB0FB3"/>
    <w:rsid w:val="00DB2B39"/>
    <w:rsid w:val="00DB2F95"/>
    <w:rsid w:val="00DC0C5C"/>
    <w:rsid w:val="00DC5140"/>
    <w:rsid w:val="00DD22AA"/>
    <w:rsid w:val="00DE00D0"/>
    <w:rsid w:val="00DE19A2"/>
    <w:rsid w:val="00DE4CAE"/>
    <w:rsid w:val="00DE5F50"/>
    <w:rsid w:val="00DE7FE2"/>
    <w:rsid w:val="00DF13E7"/>
    <w:rsid w:val="00E0113F"/>
    <w:rsid w:val="00E02A50"/>
    <w:rsid w:val="00E0551F"/>
    <w:rsid w:val="00E0730C"/>
    <w:rsid w:val="00E13489"/>
    <w:rsid w:val="00E139DA"/>
    <w:rsid w:val="00E17985"/>
    <w:rsid w:val="00E25DAE"/>
    <w:rsid w:val="00E26234"/>
    <w:rsid w:val="00E271EC"/>
    <w:rsid w:val="00E31BFD"/>
    <w:rsid w:val="00E37BEC"/>
    <w:rsid w:val="00E40490"/>
    <w:rsid w:val="00E47D6E"/>
    <w:rsid w:val="00E5334C"/>
    <w:rsid w:val="00E541A9"/>
    <w:rsid w:val="00E609E9"/>
    <w:rsid w:val="00E76673"/>
    <w:rsid w:val="00E82A5D"/>
    <w:rsid w:val="00E84915"/>
    <w:rsid w:val="00E85EFE"/>
    <w:rsid w:val="00E86B19"/>
    <w:rsid w:val="00E94501"/>
    <w:rsid w:val="00E9763F"/>
    <w:rsid w:val="00EA50D1"/>
    <w:rsid w:val="00EB6710"/>
    <w:rsid w:val="00EB6BA0"/>
    <w:rsid w:val="00EC0285"/>
    <w:rsid w:val="00EC4AAD"/>
    <w:rsid w:val="00ED096D"/>
    <w:rsid w:val="00ED2602"/>
    <w:rsid w:val="00ED3314"/>
    <w:rsid w:val="00EE0699"/>
    <w:rsid w:val="00EE09C2"/>
    <w:rsid w:val="00EE0F42"/>
    <w:rsid w:val="00EE2E05"/>
    <w:rsid w:val="00EF74F6"/>
    <w:rsid w:val="00F3059E"/>
    <w:rsid w:val="00F35B33"/>
    <w:rsid w:val="00F41F36"/>
    <w:rsid w:val="00F44868"/>
    <w:rsid w:val="00F45536"/>
    <w:rsid w:val="00F46643"/>
    <w:rsid w:val="00F46721"/>
    <w:rsid w:val="00F508CF"/>
    <w:rsid w:val="00F53A09"/>
    <w:rsid w:val="00F5505F"/>
    <w:rsid w:val="00F57A04"/>
    <w:rsid w:val="00F6217C"/>
    <w:rsid w:val="00F655DF"/>
    <w:rsid w:val="00F70B40"/>
    <w:rsid w:val="00F719B8"/>
    <w:rsid w:val="00F77227"/>
    <w:rsid w:val="00F80D37"/>
    <w:rsid w:val="00F83A0E"/>
    <w:rsid w:val="00F8677A"/>
    <w:rsid w:val="00F900D0"/>
    <w:rsid w:val="00F919CD"/>
    <w:rsid w:val="00FA0E5B"/>
    <w:rsid w:val="00FA1081"/>
    <w:rsid w:val="00FB2BE4"/>
    <w:rsid w:val="00FB31FB"/>
    <w:rsid w:val="00FB6E7F"/>
    <w:rsid w:val="00FC0D1B"/>
    <w:rsid w:val="00FD5447"/>
    <w:rsid w:val="00FD6632"/>
    <w:rsid w:val="00FE3D9C"/>
    <w:rsid w:val="00FE45DF"/>
    <w:rsid w:val="00FE612A"/>
    <w:rsid w:val="00FE6268"/>
    <w:rsid w:val="00FE6952"/>
    <w:rsid w:val="00FF673C"/>
    <w:rsid w:val="00FF6B2F"/>
    <w:rsid w:val="00FF70ED"/>
  </w:rsids>
  <m:mathPr>
    <m:mathFont m:val="Cambria Math"/>
    <m:brkBin m:val="before"/>
    <m:brkBinSub m:val="--"/>
    <m:smallFrac m:val="0"/>
    <m:dispDef/>
    <m:lMargin m:val="0"/>
    <m:rMargin m:val="0"/>
    <m:defJc m:val="centerGroup"/>
    <m:wrapIndent m:val="1440"/>
    <m:intLim m:val="subSup"/>
    <m:naryLim m:val="undOvr"/>
  </m:mathPr>
  <w:themeFontLang w:val="en-NZ" w:bidi="sa-I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5582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89C"/>
  </w:style>
  <w:style w:type="paragraph" w:styleId="Heading1">
    <w:name w:val="heading 1"/>
    <w:basedOn w:val="Normal"/>
    <w:next w:val="Normal"/>
    <w:link w:val="Heading1Char"/>
    <w:uiPriority w:val="9"/>
    <w:qFormat/>
    <w:rsid w:val="00DB2B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4063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C26D63"/>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C26D63"/>
    <w:rPr>
      <w:rFonts w:ascii="Calibri" w:hAnsi="Calibri" w:cs="Calibri"/>
      <w:noProof/>
      <w:lang w:val="en-US"/>
    </w:rPr>
  </w:style>
  <w:style w:type="paragraph" w:customStyle="1" w:styleId="EndNoteBibliography">
    <w:name w:val="EndNote Bibliography"/>
    <w:basedOn w:val="Normal"/>
    <w:link w:val="EndNoteBibliographyChar"/>
    <w:rsid w:val="00C26D63"/>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C26D63"/>
    <w:rPr>
      <w:rFonts w:ascii="Calibri" w:hAnsi="Calibri" w:cs="Calibri"/>
      <w:noProof/>
      <w:lang w:val="en-US"/>
    </w:rPr>
  </w:style>
  <w:style w:type="character" w:styleId="Hyperlink">
    <w:name w:val="Hyperlink"/>
    <w:basedOn w:val="DefaultParagraphFont"/>
    <w:uiPriority w:val="99"/>
    <w:unhideWhenUsed/>
    <w:rsid w:val="00C26D63"/>
    <w:rPr>
      <w:color w:val="0563C1" w:themeColor="hyperlink"/>
      <w:u w:val="single"/>
    </w:rPr>
  </w:style>
  <w:style w:type="paragraph" w:styleId="ListParagraph">
    <w:name w:val="List Paragraph"/>
    <w:basedOn w:val="Normal"/>
    <w:uiPriority w:val="34"/>
    <w:qFormat/>
    <w:rsid w:val="00C26D63"/>
    <w:pPr>
      <w:ind w:left="720"/>
      <w:contextualSpacing/>
    </w:pPr>
  </w:style>
  <w:style w:type="character" w:customStyle="1" w:styleId="Heading1Char">
    <w:name w:val="Heading 1 Char"/>
    <w:basedOn w:val="DefaultParagraphFont"/>
    <w:link w:val="Heading1"/>
    <w:uiPriority w:val="9"/>
    <w:rsid w:val="00DB2B3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B2B39"/>
    <w:pPr>
      <w:outlineLvl w:val="9"/>
    </w:pPr>
    <w:rPr>
      <w:lang w:val="en-US"/>
    </w:rPr>
  </w:style>
  <w:style w:type="paragraph" w:styleId="Header">
    <w:name w:val="header"/>
    <w:basedOn w:val="Normal"/>
    <w:link w:val="HeaderChar"/>
    <w:uiPriority w:val="99"/>
    <w:unhideWhenUsed/>
    <w:rsid w:val="008436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3660"/>
  </w:style>
  <w:style w:type="paragraph" w:styleId="Footer">
    <w:name w:val="footer"/>
    <w:basedOn w:val="Normal"/>
    <w:link w:val="FooterChar"/>
    <w:uiPriority w:val="99"/>
    <w:unhideWhenUsed/>
    <w:rsid w:val="008436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3660"/>
  </w:style>
  <w:style w:type="character" w:customStyle="1" w:styleId="Heading2Char">
    <w:name w:val="Heading 2 Char"/>
    <w:basedOn w:val="DefaultParagraphFont"/>
    <w:link w:val="Heading2"/>
    <w:uiPriority w:val="9"/>
    <w:rsid w:val="00A40630"/>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BE4808"/>
    <w:pPr>
      <w:spacing w:after="100"/>
    </w:pPr>
  </w:style>
  <w:style w:type="paragraph" w:styleId="TOC2">
    <w:name w:val="toc 2"/>
    <w:basedOn w:val="Normal"/>
    <w:next w:val="Normal"/>
    <w:autoRedefine/>
    <w:uiPriority w:val="39"/>
    <w:unhideWhenUsed/>
    <w:rsid w:val="00BE4808"/>
    <w:pPr>
      <w:spacing w:after="100"/>
      <w:ind w:left="220"/>
    </w:pPr>
  </w:style>
  <w:style w:type="paragraph" w:styleId="BalloonText">
    <w:name w:val="Balloon Text"/>
    <w:basedOn w:val="Normal"/>
    <w:link w:val="BalloonTextChar"/>
    <w:uiPriority w:val="99"/>
    <w:semiHidden/>
    <w:unhideWhenUsed/>
    <w:rsid w:val="005A71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122"/>
    <w:rPr>
      <w:rFonts w:ascii="Segoe UI" w:hAnsi="Segoe UI" w:cs="Segoe UI"/>
      <w:sz w:val="18"/>
      <w:szCs w:val="18"/>
    </w:rPr>
  </w:style>
  <w:style w:type="character" w:styleId="CommentReference">
    <w:name w:val="annotation reference"/>
    <w:basedOn w:val="DefaultParagraphFont"/>
    <w:uiPriority w:val="99"/>
    <w:semiHidden/>
    <w:unhideWhenUsed/>
    <w:rsid w:val="007F2059"/>
    <w:rPr>
      <w:sz w:val="16"/>
      <w:szCs w:val="16"/>
    </w:rPr>
  </w:style>
  <w:style w:type="paragraph" w:styleId="CommentText">
    <w:name w:val="annotation text"/>
    <w:basedOn w:val="Normal"/>
    <w:link w:val="CommentTextChar"/>
    <w:uiPriority w:val="99"/>
    <w:semiHidden/>
    <w:unhideWhenUsed/>
    <w:rsid w:val="007F2059"/>
    <w:pPr>
      <w:spacing w:line="240" w:lineRule="auto"/>
    </w:pPr>
    <w:rPr>
      <w:sz w:val="20"/>
      <w:szCs w:val="20"/>
    </w:rPr>
  </w:style>
  <w:style w:type="character" w:customStyle="1" w:styleId="CommentTextChar">
    <w:name w:val="Comment Text Char"/>
    <w:basedOn w:val="DefaultParagraphFont"/>
    <w:link w:val="CommentText"/>
    <w:uiPriority w:val="99"/>
    <w:semiHidden/>
    <w:rsid w:val="007F2059"/>
    <w:rPr>
      <w:sz w:val="20"/>
      <w:szCs w:val="20"/>
    </w:rPr>
  </w:style>
  <w:style w:type="paragraph" w:styleId="CommentSubject">
    <w:name w:val="annotation subject"/>
    <w:basedOn w:val="CommentText"/>
    <w:next w:val="CommentText"/>
    <w:link w:val="CommentSubjectChar"/>
    <w:uiPriority w:val="99"/>
    <w:semiHidden/>
    <w:unhideWhenUsed/>
    <w:rsid w:val="007F2059"/>
    <w:rPr>
      <w:b/>
      <w:bCs/>
    </w:rPr>
  </w:style>
  <w:style w:type="character" w:customStyle="1" w:styleId="CommentSubjectChar">
    <w:name w:val="Comment Subject Char"/>
    <w:basedOn w:val="CommentTextChar"/>
    <w:link w:val="CommentSubject"/>
    <w:uiPriority w:val="99"/>
    <w:semiHidden/>
    <w:rsid w:val="007F2059"/>
    <w:rPr>
      <w:b/>
      <w:bCs/>
      <w:sz w:val="20"/>
      <w:szCs w:val="20"/>
    </w:rPr>
  </w:style>
  <w:style w:type="character" w:styleId="FollowedHyperlink">
    <w:name w:val="FollowedHyperlink"/>
    <w:basedOn w:val="DefaultParagraphFont"/>
    <w:uiPriority w:val="99"/>
    <w:semiHidden/>
    <w:unhideWhenUsed/>
    <w:rsid w:val="008D50E3"/>
    <w:rPr>
      <w:color w:val="954F72" w:themeColor="followedHyperlink"/>
      <w:u w:val="single"/>
    </w:rPr>
  </w:style>
  <w:style w:type="paragraph" w:styleId="EndnoteText">
    <w:name w:val="endnote text"/>
    <w:basedOn w:val="Normal"/>
    <w:link w:val="EndnoteTextChar"/>
    <w:uiPriority w:val="99"/>
    <w:semiHidden/>
    <w:unhideWhenUsed/>
    <w:rsid w:val="004662E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2E6"/>
    <w:rPr>
      <w:sz w:val="20"/>
      <w:szCs w:val="20"/>
    </w:rPr>
  </w:style>
  <w:style w:type="character" w:styleId="EndnoteReference">
    <w:name w:val="endnote reference"/>
    <w:basedOn w:val="DefaultParagraphFont"/>
    <w:uiPriority w:val="99"/>
    <w:unhideWhenUsed/>
    <w:rsid w:val="004662E6"/>
    <w:rPr>
      <w:vertAlign w:val="superscript"/>
    </w:rPr>
  </w:style>
  <w:style w:type="paragraph" w:styleId="FootnoteText">
    <w:name w:val="footnote text"/>
    <w:basedOn w:val="Normal"/>
    <w:link w:val="FootnoteTextChar"/>
    <w:uiPriority w:val="99"/>
    <w:semiHidden/>
    <w:unhideWhenUsed/>
    <w:rsid w:val="008549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49D9"/>
    <w:rPr>
      <w:sz w:val="20"/>
      <w:szCs w:val="20"/>
    </w:rPr>
  </w:style>
  <w:style w:type="character" w:styleId="FootnoteReference">
    <w:name w:val="footnote reference"/>
    <w:basedOn w:val="DefaultParagraphFont"/>
    <w:uiPriority w:val="99"/>
    <w:semiHidden/>
    <w:unhideWhenUsed/>
    <w:rsid w:val="008549D9"/>
    <w:rPr>
      <w:vertAlign w:val="superscript"/>
    </w:rPr>
  </w:style>
  <w:style w:type="paragraph" w:styleId="Caption">
    <w:name w:val="caption"/>
    <w:basedOn w:val="Normal"/>
    <w:next w:val="Normal"/>
    <w:uiPriority w:val="35"/>
    <w:unhideWhenUsed/>
    <w:qFormat/>
    <w:rsid w:val="00365F82"/>
    <w:pPr>
      <w:spacing w:after="200" w:line="240" w:lineRule="auto"/>
    </w:pPr>
    <w:rPr>
      <w:i/>
      <w:iCs/>
      <w:color w:val="44546A" w:themeColor="text2"/>
      <w:sz w:val="18"/>
      <w:szCs w:val="18"/>
    </w:rPr>
  </w:style>
  <w:style w:type="paragraph" w:styleId="TOC3">
    <w:name w:val="toc 3"/>
    <w:basedOn w:val="Normal"/>
    <w:next w:val="Normal"/>
    <w:autoRedefine/>
    <w:uiPriority w:val="39"/>
    <w:unhideWhenUsed/>
    <w:rsid w:val="003D5957"/>
    <w:pPr>
      <w:spacing w:after="100"/>
      <w:ind w:left="440"/>
    </w:pPr>
    <w:rPr>
      <w:rFonts w:eastAsiaTheme="minorEastAsia" w:cs="Times New Roman"/>
      <w:lang w:val="en-US"/>
    </w:rPr>
  </w:style>
  <w:style w:type="paragraph" w:customStyle="1" w:styleId="Subhead1">
    <w:name w:val="Subhead 1"/>
    <w:rsid w:val="00130397"/>
    <w:pPr>
      <w:widowControl w:val="0"/>
      <w:suppressAutoHyphens/>
      <w:autoSpaceDE w:val="0"/>
      <w:autoSpaceDN w:val="0"/>
      <w:adjustRightInd w:val="0"/>
      <w:spacing w:before="227" w:after="85" w:line="340" w:lineRule="atLeast"/>
      <w:textAlignment w:val="center"/>
    </w:pPr>
    <w:rPr>
      <w:rFonts w:ascii="Arial" w:eastAsia="Times New Roman" w:hAnsi="Arial" w:cs="Times New Roman"/>
      <w:color w:val="0077B0"/>
      <w:sz w:val="28"/>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tiff"/><Relationship Id="rId18" Type="http://schemas.openxmlformats.org/officeDocument/2006/relationships/hyperlink" Target="https://www.safetyandquality.gov.au/our-work/healthcare-variation/atlas-2015/atlas-2015-3-surgical-intervention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myagedcare.gov.au" TargetMode="Externa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yperlink" Target="https://www.safetyandquality.gov.au/our-work/clinical-care-standards/hip-fracture-care-clinical-care-standard" TargetMode="External"/><Relationship Id="rId25" Type="http://schemas.openxmlformats.org/officeDocument/2006/relationships/hyperlink" Target="http://www.anzhfr.org" TargetMode="External"/><Relationship Id="rId2" Type="http://schemas.openxmlformats.org/officeDocument/2006/relationships/numbering" Target="numbering.xml"/><Relationship Id="rId16" Type="http://schemas.openxmlformats.org/officeDocument/2006/relationships/hyperlink" Target="http://www.anzhfr.org" TargetMode="External"/><Relationship Id="rId20" Type="http://schemas.openxmlformats.org/officeDocument/2006/relationships/hyperlink" Target="https://www.hqsc.govt.nz/our-programmes/reducing-harm-from-falls/news-and-events/news/30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hyperlink" Target="https://www.iofbonehealth.org/" TargetMode="External"/><Relationship Id="rId5" Type="http://schemas.openxmlformats.org/officeDocument/2006/relationships/webSettings" Target="webSettings.xml"/><Relationship Id="rId15" Type="http://schemas.openxmlformats.org/officeDocument/2006/relationships/hyperlink" Target="https://www.safetyandquality.gov.au/our-work/healthcare-variation/atlas-2015/atlas-2015-3-surgical-interventions" TargetMode="External"/><Relationship Id="rId23" Type="http://schemas.openxmlformats.org/officeDocument/2006/relationships/hyperlink" Target="http://fragilityfracturenetwork.org/" TargetMode="External"/><Relationship Id="rId10" Type="http://schemas.openxmlformats.org/officeDocument/2006/relationships/footer" Target="footer2.xml"/><Relationship Id="rId19" Type="http://schemas.openxmlformats.org/officeDocument/2006/relationships/hyperlink" Target="http://www.hqsc.govt.nz/our-programmes/health-quality-evaluation/projects/atlas-of-healthcare-variation/fall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hyperlink" Target="https://www.livestronger.org.nz/" TargetMode="External"/><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www.safetyandquality.gov.au/our-work" TargetMode="External"/><Relationship Id="rId7" Type="http://schemas.openxmlformats.org/officeDocument/2006/relationships/hyperlink" Target="http://koawatea.co.nz/improving-the-journey-for-hip-fracture-patients/" TargetMode="External"/><Relationship Id="rId2" Type="http://schemas.openxmlformats.org/officeDocument/2006/relationships/hyperlink" Target="http://www.hqsc.govt.nz/our-programmes/reducing-harm-from-falls/publications-and-resources/publication/2595/" TargetMode="External"/><Relationship Id="rId1" Type="http://schemas.openxmlformats.org/officeDocument/2006/relationships/hyperlink" Target="http://www.nhfd.co.uk/" TargetMode="External"/><Relationship Id="rId6" Type="http://schemas.openxmlformats.org/officeDocument/2006/relationships/hyperlink" Target="https://www.health.gov.au/resources/publications/corporate-plan-2018-2019" TargetMode="External"/><Relationship Id="rId5" Type="http://schemas.openxmlformats.org/officeDocument/2006/relationships/hyperlink" Target="https://www.coag.gov.au/sites/default/files/agreements/heads-of-agreement-hospital-funding.pdf" TargetMode="External"/><Relationship Id="rId4" Type="http://schemas.openxmlformats.org/officeDocument/2006/relationships/hyperlink" Target="https://meteor.aihw.gov.au/content/index.phtml/itemId/6989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E4907-1068-48F7-94A1-42098378F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9126</Words>
  <Characters>52022</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2019-10-08T04:57:00Z</dcterms:created>
  <dcterms:modified xsi:type="dcterms:W3CDTF">2019-10-08T05:18:00Z</dcterms:modified>
</cp:coreProperties>
</file>